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C4" w:rsidRPr="001D7461" w:rsidRDefault="009703C4" w:rsidP="009703C4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bookmarkStart w:id="0" w:name="_GoBack"/>
      <w:r w:rsidRPr="001D7461">
        <w:rPr>
          <w:b/>
          <w:sz w:val="28"/>
          <w:szCs w:val="28"/>
          <w:lang w:val="uk-UA"/>
        </w:rPr>
        <w:t>ЗАГАЛЬНІ ПРИНЦИПИ, КОДЕКС ЕТИКИ ТА ДОБРОЧЕСНОСТІ ГРОМАДСЬКОГО (ПАРТИЦИПАТОРНОГО) БЮДЖЕТУ</w:t>
      </w:r>
    </w:p>
    <w:bookmarkEnd w:id="0"/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9071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D75F50">
        <w:rPr>
          <w:sz w:val="28"/>
          <w:szCs w:val="28"/>
          <w:lang w:val="uk-UA"/>
        </w:rPr>
        <w:t>Загальні принципи громадського бюджету: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D75F50">
        <w:rPr>
          <w:sz w:val="28"/>
          <w:szCs w:val="28"/>
          <w:lang w:val="uk-UA"/>
        </w:rPr>
        <w:t>Добровільність, доброчесність, неупередженість, взаємоповага, законність, справедливість, моральність та свобода вибору (відповідно до п. 2 цього розділу Положення);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D75F50">
        <w:rPr>
          <w:sz w:val="28"/>
          <w:szCs w:val="28"/>
          <w:lang w:val="uk-UA"/>
        </w:rPr>
        <w:t>Обов'язковість виконання результатів (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и</w:t>
      </w:r>
      <w:proofErr w:type="spellEnd"/>
      <w:r w:rsidRPr="00D75F50">
        <w:rPr>
          <w:sz w:val="28"/>
          <w:szCs w:val="28"/>
          <w:lang w:val="uk-UA"/>
        </w:rPr>
        <w:t>-переможці є обов'язковими до виконання у тій формі, що становила предмет голосування, при обґрунтованому внесенні змін та доповнень, погоджених з автором</w:t>
      </w:r>
      <w:r>
        <w:rPr>
          <w:sz w:val="28"/>
          <w:szCs w:val="28"/>
          <w:lang w:val="uk-UA"/>
        </w:rPr>
        <w:t>(кою</w:t>
      </w:r>
      <w:r w:rsidRPr="00D75F50">
        <w:rPr>
          <w:sz w:val="28"/>
          <w:szCs w:val="28"/>
          <w:lang w:val="uk-UA"/>
        </w:rPr>
        <w:t>), його ідей та суть залишаються незмінними);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 w:rsidRPr="00D75F50">
        <w:rPr>
          <w:sz w:val="28"/>
          <w:szCs w:val="28"/>
          <w:lang w:val="uk-UA"/>
        </w:rPr>
        <w:t>Інклюзивність</w:t>
      </w:r>
      <w:proofErr w:type="spellEnd"/>
      <w:r w:rsidRPr="00D75F50">
        <w:rPr>
          <w:sz w:val="28"/>
          <w:szCs w:val="28"/>
          <w:lang w:val="uk-UA"/>
        </w:rPr>
        <w:t xml:space="preserve"> процесу (забезпечення рівного доступу усіх категорій мешканців, у тому числі внутрішньо переміщених осіб, людей з інвалідністю, </w:t>
      </w:r>
      <w:proofErr w:type="spellStart"/>
      <w:r w:rsidRPr="00D75F50">
        <w:rPr>
          <w:sz w:val="28"/>
          <w:szCs w:val="28"/>
          <w:lang w:val="uk-UA"/>
        </w:rPr>
        <w:t>маломобільних</w:t>
      </w:r>
      <w:proofErr w:type="spellEnd"/>
      <w:r w:rsidRPr="00D75F50">
        <w:rPr>
          <w:sz w:val="28"/>
          <w:szCs w:val="28"/>
          <w:lang w:val="uk-UA"/>
        </w:rPr>
        <w:t xml:space="preserve"> груп, представників </w:t>
      </w:r>
      <w:proofErr w:type="spellStart"/>
      <w:r w:rsidRPr="00D75F50">
        <w:rPr>
          <w:sz w:val="28"/>
          <w:szCs w:val="28"/>
          <w:lang w:val="uk-UA"/>
        </w:rPr>
        <w:t>старостинських</w:t>
      </w:r>
      <w:proofErr w:type="spellEnd"/>
      <w:r w:rsidRPr="00D75F50">
        <w:rPr>
          <w:sz w:val="28"/>
          <w:szCs w:val="28"/>
          <w:lang w:val="uk-UA"/>
        </w:rPr>
        <w:t xml:space="preserve"> округів до усіх процедур та інструментів, у тому числі подачі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ів</w:t>
      </w:r>
      <w:proofErr w:type="spellEnd"/>
      <w:r w:rsidRPr="00D75F50">
        <w:rPr>
          <w:sz w:val="28"/>
          <w:szCs w:val="28"/>
          <w:lang w:val="uk-UA"/>
        </w:rPr>
        <w:t xml:space="preserve">, їх промоції та агітації, голосування, моніторингу реалізації, </w:t>
      </w:r>
      <w:proofErr w:type="spellStart"/>
      <w:r w:rsidRPr="00D75F50">
        <w:rPr>
          <w:sz w:val="28"/>
          <w:szCs w:val="28"/>
          <w:lang w:val="uk-UA"/>
        </w:rPr>
        <w:t>включеність</w:t>
      </w:r>
      <w:proofErr w:type="spellEnd"/>
      <w:r w:rsidRPr="00D75F50">
        <w:rPr>
          <w:sz w:val="28"/>
          <w:szCs w:val="28"/>
          <w:lang w:val="uk-UA"/>
        </w:rPr>
        <w:t xml:space="preserve"> до усіх);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D75F50">
        <w:rPr>
          <w:sz w:val="28"/>
          <w:szCs w:val="28"/>
          <w:lang w:val="uk-UA"/>
        </w:rPr>
        <w:t>Прозорість та відкритість процедур (громадський бюджет базується на чітких процедурах, інформація про які перебуває у загальному доступі та широкому розповсюдженню з використанням різних джерел інформування, усі учасники мають право пропонувати та брати участь у заходах з оцінки та удосконалення таких процедур);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Pr="00D75F50">
        <w:rPr>
          <w:sz w:val="28"/>
          <w:szCs w:val="28"/>
          <w:lang w:val="uk-UA"/>
        </w:rPr>
        <w:t xml:space="preserve">Загальнодоступність та неприбутковість (можливість користуватися результатом реалізації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ів</w:t>
      </w:r>
      <w:proofErr w:type="spellEnd"/>
      <w:r w:rsidRPr="00D75F50">
        <w:rPr>
          <w:sz w:val="28"/>
          <w:szCs w:val="28"/>
          <w:lang w:val="uk-UA"/>
        </w:rPr>
        <w:t xml:space="preserve">-переможців усіма категоріями мешканців без виключення із прийнятним режимом доступу та дотриманням правил безпеки, гарантування балансоутримувачем безкоштовного користування результатами реалізації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ів</w:t>
      </w:r>
      <w:proofErr w:type="spellEnd"/>
      <w:r w:rsidRPr="00D75F50">
        <w:rPr>
          <w:sz w:val="28"/>
          <w:szCs w:val="28"/>
          <w:lang w:val="uk-UA"/>
        </w:rPr>
        <w:t xml:space="preserve"> та не використання з метою отримання будь-якого прибутку);</w:t>
      </w:r>
    </w:p>
    <w:p w:rsidR="009703C4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r w:rsidRPr="00D75F50">
        <w:rPr>
          <w:sz w:val="28"/>
          <w:szCs w:val="28"/>
          <w:lang w:val="uk-UA"/>
        </w:rPr>
        <w:t>Гендерна та соціальна спрямованість (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и</w:t>
      </w:r>
      <w:proofErr w:type="spellEnd"/>
      <w:r w:rsidRPr="00D75F50">
        <w:rPr>
          <w:sz w:val="28"/>
          <w:szCs w:val="28"/>
          <w:lang w:val="uk-UA"/>
        </w:rPr>
        <w:t xml:space="preserve"> громадського бюджету мають бути соціально направленими та не можуть задовольняти інтереси виключно однієї чи невеликої групи осіб, повинні мати довгостроковий результат та позитивний соціальний ефект, не містити дискримінації за </w:t>
      </w:r>
      <w:proofErr w:type="spellStart"/>
      <w:r w:rsidRPr="00D75F50">
        <w:rPr>
          <w:sz w:val="28"/>
          <w:szCs w:val="28"/>
          <w:lang w:val="uk-UA"/>
        </w:rPr>
        <w:t>гендером</w:t>
      </w:r>
      <w:proofErr w:type="spellEnd"/>
      <w:r w:rsidRPr="00D75F50">
        <w:rPr>
          <w:sz w:val="28"/>
          <w:szCs w:val="28"/>
          <w:lang w:val="uk-UA"/>
        </w:rPr>
        <w:t>, віком, соціальним статусом, освітою, вірою тощо).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703C4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2. Кодекс етики та доброчесності громадського (</w:t>
      </w:r>
      <w:proofErr w:type="spellStart"/>
      <w:r w:rsidRPr="00D75F50">
        <w:rPr>
          <w:sz w:val="28"/>
          <w:szCs w:val="28"/>
          <w:lang w:val="uk-UA"/>
        </w:rPr>
        <w:t>партиципаторного</w:t>
      </w:r>
      <w:proofErr w:type="spellEnd"/>
      <w:r w:rsidRPr="00D75F50">
        <w:rPr>
          <w:sz w:val="28"/>
          <w:szCs w:val="28"/>
          <w:lang w:val="uk-UA"/>
        </w:rPr>
        <w:t>) бюджету є обов'язковим до виконання усіма учасниками громадського бюджету.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3. Усі учасники громадського (</w:t>
      </w:r>
      <w:proofErr w:type="spellStart"/>
      <w:r w:rsidRPr="00D75F50">
        <w:rPr>
          <w:sz w:val="28"/>
          <w:szCs w:val="28"/>
          <w:lang w:val="uk-UA"/>
        </w:rPr>
        <w:t>партиципаторного</w:t>
      </w:r>
      <w:proofErr w:type="spellEnd"/>
      <w:r w:rsidRPr="00D75F50">
        <w:rPr>
          <w:sz w:val="28"/>
          <w:szCs w:val="28"/>
          <w:lang w:val="uk-UA"/>
        </w:rPr>
        <w:t>) бюджету СМТГ повинні дотримуватися наступних правил поведінки: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1) утримуватися від використання/розповсюдження неточної, недостовірної інформації, або такої, що дискредитує або шкодить репутації інших громадян, вводить або може ввести в оману жителів громади;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 xml:space="preserve">2) не перешкоджати мешканцям, які беруть участь у процесі голосування, здійснювати вільний вибір вподобаного громадського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у</w:t>
      </w:r>
      <w:proofErr w:type="spellEnd"/>
      <w:r w:rsidRPr="00D75F50">
        <w:rPr>
          <w:sz w:val="28"/>
          <w:szCs w:val="28"/>
          <w:lang w:val="uk-UA"/>
        </w:rPr>
        <w:t>;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lastRenderedPageBreak/>
        <w:t xml:space="preserve">3) не змушувати мешканців голосувати за визначені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и</w:t>
      </w:r>
      <w:proofErr w:type="spellEnd"/>
      <w:r w:rsidRPr="00D75F50">
        <w:rPr>
          <w:sz w:val="28"/>
          <w:szCs w:val="28"/>
          <w:lang w:val="uk-UA"/>
        </w:rPr>
        <w:t xml:space="preserve"> або надавати чи обіцяти неправомірну вигоду за вчинення або не вчинення будь-яких дій щодо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ів</w:t>
      </w:r>
      <w:proofErr w:type="spellEnd"/>
      <w:r w:rsidRPr="00D75F50">
        <w:rPr>
          <w:sz w:val="28"/>
          <w:szCs w:val="28"/>
          <w:lang w:val="uk-UA"/>
        </w:rPr>
        <w:t xml:space="preserve"> громадського бюджету;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 xml:space="preserve">4) не допускати випадків будь-якого примусу та тиску, в тому числі адміністративного, з метою впливу на результати голосування та реалізацію громадських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ів</w:t>
      </w:r>
      <w:proofErr w:type="spellEnd"/>
      <w:r w:rsidRPr="00D75F50">
        <w:rPr>
          <w:sz w:val="28"/>
          <w:szCs w:val="28"/>
          <w:lang w:val="uk-UA"/>
        </w:rPr>
        <w:t xml:space="preserve"> (у тому числі на членів Координаційної ради під час виконання повноважень);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5) не вимагати від громадян, які взяли участь у процедурі голосування, інформації про результат такого голосування, у тому числі доказів його здійснення (відеозапису, знімків тощо);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6) не вимагати персональних даних громадян та не використовувати персональні дані інших громадян, у тому числі для здійснення неправомірного голосування за іншу особу;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 xml:space="preserve">7) не намагатися чинити тиск та не перешкоджати Координаційній раді та виконавчим органам міської ради здійснювати попередню перевірку та експертизу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ів</w:t>
      </w:r>
      <w:proofErr w:type="spellEnd"/>
      <w:r w:rsidRPr="00D75F50">
        <w:rPr>
          <w:sz w:val="28"/>
          <w:szCs w:val="28"/>
          <w:lang w:val="uk-UA"/>
        </w:rPr>
        <w:t>;</w:t>
      </w:r>
    </w:p>
    <w:p w:rsidR="009703C4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 </w:t>
      </w:r>
      <w:r w:rsidRPr="00D75F50">
        <w:rPr>
          <w:sz w:val="28"/>
          <w:szCs w:val="28"/>
          <w:lang w:val="uk-UA"/>
        </w:rPr>
        <w:t>не допускати реального та потенційного конфлікту інтересів.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703C4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4. Контроль за дотриманням учасниками громадського бюджету на всіх його етапах, норм Кодексу етики та доброчесності громадського (</w:t>
      </w:r>
      <w:proofErr w:type="spellStart"/>
      <w:r w:rsidRPr="00D75F50">
        <w:rPr>
          <w:sz w:val="28"/>
          <w:szCs w:val="28"/>
          <w:lang w:val="uk-UA"/>
        </w:rPr>
        <w:t>партиципаторного</w:t>
      </w:r>
      <w:proofErr w:type="spellEnd"/>
      <w:r w:rsidRPr="00D75F50">
        <w:rPr>
          <w:sz w:val="28"/>
          <w:szCs w:val="28"/>
          <w:lang w:val="uk-UA"/>
        </w:rPr>
        <w:t>) бюджету СМТГ, здійснює Координаційна рада, яка також ухвалює рішення щодо застосування до порушників заходів впливу, передбачених цим Положенням.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A23ED">
        <w:rPr>
          <w:sz w:val="28"/>
          <w:szCs w:val="28"/>
          <w:lang w:val="uk-UA"/>
        </w:rPr>
        <w:t>5. Під час здійснення агітації за громадські проекти учасники процесу можуть здійснювати інформування на території СМТГ (крім місць, зазначених у останньому абзаці пункту 2 розділу VI Положення) будь-якими заходами/засобами, які не суперечать чинному законодавству та цьому Положенню.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 xml:space="preserve">Виконавчі органи, комунальні підприємства, установи та організації Сумської міської ради сприяють публічному обговоренню поданих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ів</w:t>
      </w:r>
      <w:proofErr w:type="spellEnd"/>
      <w:r w:rsidRPr="00D75F50">
        <w:rPr>
          <w:sz w:val="28"/>
          <w:szCs w:val="28"/>
          <w:lang w:val="uk-UA"/>
        </w:rPr>
        <w:t xml:space="preserve"> та надають можливість автору(ці) або уповноваженій ним особі, представити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 w:rsidRPr="00D75F50">
        <w:rPr>
          <w:sz w:val="28"/>
          <w:szCs w:val="28"/>
          <w:lang w:val="uk-UA"/>
        </w:rPr>
        <w:t xml:space="preserve"> під час публічного обговорення, у тому числі на їх території, за умови, якщо місце проведення не пов’язане з поданим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ом</w:t>
      </w:r>
      <w:proofErr w:type="spellEnd"/>
      <w:r w:rsidRPr="00D75F50">
        <w:rPr>
          <w:sz w:val="28"/>
          <w:szCs w:val="28"/>
          <w:lang w:val="uk-UA"/>
        </w:rPr>
        <w:t>. У приміщеннях підприємств, установ та організацій приватної форми власності агітація проводиться за згоди їх керівництва.</w:t>
      </w:r>
    </w:p>
    <w:p w:rsidR="009703C4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 xml:space="preserve">Депутати Сумської міської ради, посадові особи виконавчих органів, керівники та працівники комунальних підприємств, установ та організацій Сумської міської ради, представники політичних партій не можуть використовувати подані/реалізовані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и</w:t>
      </w:r>
      <w:proofErr w:type="spellEnd"/>
      <w:r w:rsidRPr="00D75F50">
        <w:rPr>
          <w:sz w:val="28"/>
          <w:szCs w:val="28"/>
          <w:lang w:val="uk-UA"/>
        </w:rPr>
        <w:t xml:space="preserve"> у власних політичних цілях та політичній рекламі, а також мають проводити інформаційну кампанію та агітацію, не поєднуючи таку діяльність зі своїми публічними та посадовими обов'язками, пов'язаними з виконанням представницьких/владних повноважень та з урахуванням вимог Закону України «Про запобігання корупції» щодо потенційного чи реального конфлікту інтересів.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703C4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6. Нанесення будь-якої символіки або інформації щодо підтримки, окрім символіки громадського (</w:t>
      </w:r>
      <w:proofErr w:type="spellStart"/>
      <w:r w:rsidRPr="00D75F50">
        <w:rPr>
          <w:sz w:val="28"/>
          <w:szCs w:val="28"/>
          <w:lang w:val="uk-UA"/>
        </w:rPr>
        <w:t>партиципаторного</w:t>
      </w:r>
      <w:proofErr w:type="spellEnd"/>
      <w:r w:rsidRPr="00D75F50">
        <w:rPr>
          <w:sz w:val="28"/>
          <w:szCs w:val="28"/>
          <w:lang w:val="uk-UA"/>
        </w:rPr>
        <w:t>) бюджету, на продукти</w:t>
      </w:r>
      <w:r>
        <w:rPr>
          <w:sz w:val="28"/>
          <w:szCs w:val="28"/>
          <w:lang w:val="uk-UA"/>
        </w:rPr>
        <w:t>/</w:t>
      </w:r>
      <w:r w:rsidRPr="00D75F50">
        <w:rPr>
          <w:sz w:val="28"/>
          <w:szCs w:val="28"/>
          <w:lang w:val="uk-UA"/>
        </w:rPr>
        <w:t xml:space="preserve">результати реалізації громадських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ів</w:t>
      </w:r>
      <w:proofErr w:type="spellEnd"/>
      <w:r w:rsidRPr="00D75F50">
        <w:rPr>
          <w:sz w:val="28"/>
          <w:szCs w:val="28"/>
          <w:lang w:val="uk-UA"/>
        </w:rPr>
        <w:t xml:space="preserve"> та її використання під час агітації заборонено.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7. У разі порушення положень цього Кодексу кожен мешканець міської громади має право подати скаргу щодо його недотримання до Координаційної ради.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 xml:space="preserve">Прийом скарг завершується наступного дня після закінчення терміну голосування за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и</w:t>
      </w:r>
      <w:proofErr w:type="spellEnd"/>
      <w:r w:rsidRPr="00D75F50">
        <w:rPr>
          <w:sz w:val="28"/>
          <w:szCs w:val="28"/>
          <w:lang w:val="uk-UA"/>
        </w:rPr>
        <w:t>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 xml:space="preserve">Скарга щодо можливого порушення етичних правил та відповідні докази (відео-, фото-, аудіо-) надсилаються на електронну пошту, вказану у оголошенні про подачу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ів</w:t>
      </w:r>
      <w:proofErr w:type="spellEnd"/>
      <w:r w:rsidRPr="00D75F50">
        <w:rPr>
          <w:sz w:val="28"/>
          <w:szCs w:val="28"/>
          <w:lang w:val="uk-UA"/>
        </w:rPr>
        <w:t>. Така скарга має містити:</w:t>
      </w:r>
    </w:p>
    <w:p w:rsidR="009703C4" w:rsidRDefault="009703C4" w:rsidP="009703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D7461">
        <w:rPr>
          <w:sz w:val="28"/>
          <w:szCs w:val="28"/>
          <w:lang w:val="uk-UA"/>
        </w:rPr>
        <w:t>ПІБ та контактні дані скаржника;</w:t>
      </w:r>
    </w:p>
    <w:p w:rsidR="009703C4" w:rsidRDefault="009703C4" w:rsidP="009703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D7461">
        <w:rPr>
          <w:sz w:val="28"/>
          <w:szCs w:val="28"/>
          <w:lang w:val="uk-UA"/>
        </w:rPr>
        <w:t xml:space="preserve">назву громадського </w:t>
      </w:r>
      <w:proofErr w:type="spellStart"/>
      <w:r>
        <w:rPr>
          <w:sz w:val="28"/>
          <w:szCs w:val="28"/>
          <w:lang w:val="uk-UA"/>
        </w:rPr>
        <w:t>проєкт</w:t>
      </w:r>
      <w:r w:rsidRPr="001D7461">
        <w:rPr>
          <w:sz w:val="28"/>
          <w:szCs w:val="28"/>
          <w:lang w:val="uk-UA"/>
        </w:rPr>
        <w:t>у</w:t>
      </w:r>
      <w:proofErr w:type="spellEnd"/>
      <w:r w:rsidRPr="001D7461">
        <w:rPr>
          <w:sz w:val="28"/>
          <w:szCs w:val="28"/>
          <w:lang w:val="uk-UA"/>
        </w:rPr>
        <w:t>, щодо якого подана відповідна скарга та особу щодо якою подається скарга;</w:t>
      </w:r>
    </w:p>
    <w:p w:rsidR="009703C4" w:rsidRDefault="009703C4" w:rsidP="009703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D7461">
        <w:rPr>
          <w:sz w:val="28"/>
          <w:szCs w:val="28"/>
          <w:lang w:val="uk-UA"/>
        </w:rPr>
        <w:t>вмотивоване обґрунтування, опис протиправних дій або бездіяльності, що оскаржуються, та фактичних обставин, що можуть це підтверджувати;</w:t>
      </w:r>
    </w:p>
    <w:p w:rsidR="009703C4" w:rsidRDefault="009703C4" w:rsidP="009703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D7461">
        <w:rPr>
          <w:sz w:val="28"/>
          <w:szCs w:val="28"/>
          <w:lang w:val="uk-UA"/>
        </w:rPr>
        <w:t>наявні докази щодо вчинення протиправних дій;</w:t>
      </w:r>
    </w:p>
    <w:p w:rsidR="009703C4" w:rsidRPr="001D7461" w:rsidRDefault="009703C4" w:rsidP="009703C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D7461">
        <w:rPr>
          <w:sz w:val="28"/>
          <w:szCs w:val="28"/>
          <w:lang w:val="uk-UA"/>
        </w:rPr>
        <w:t>вимоги скаржника та їх обґрунтування.</w:t>
      </w:r>
    </w:p>
    <w:p w:rsidR="009703C4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Скарга, до якої не долучені докази порушення етичних правил, чи не підписана автором(кою) (співавторами), а також така, з якої неможливо встановити авторство, визнається анонімною і розгляду не підлягає.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8. Координаційна рада розглядає скаргу на своєму черговому засіданні із запрошенням скаржника та особи, чиї дії оскаржуються, а також інших осіб, інформація яких може вплинути на розгляд скарги.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За результатами розгляду скарги Координаційна рада приймає рішення щодо її задоволення або відхилення. У разі задоволення чи часткового задоволення Координаційна рада визначає спосіб задоволення вимог скаржника.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Координаційна рада має право застосувати один або одночасно кілька наступних заходів впливу:</w:t>
      </w:r>
    </w:p>
    <w:p w:rsidR="009703C4" w:rsidRDefault="009703C4" w:rsidP="009703C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D7461">
        <w:rPr>
          <w:sz w:val="28"/>
          <w:szCs w:val="28"/>
          <w:lang w:val="uk-UA"/>
        </w:rPr>
        <w:t>винести попередження учасникам громадського бюджету;</w:t>
      </w:r>
    </w:p>
    <w:p w:rsidR="009703C4" w:rsidRDefault="009703C4" w:rsidP="009703C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D7461">
        <w:rPr>
          <w:sz w:val="28"/>
          <w:szCs w:val="28"/>
          <w:lang w:val="uk-UA"/>
        </w:rPr>
        <w:t>надати рекомендацію щодо вживання належних заходів;</w:t>
      </w:r>
    </w:p>
    <w:p w:rsidR="009703C4" w:rsidRDefault="009703C4" w:rsidP="009703C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D7461">
        <w:rPr>
          <w:sz w:val="28"/>
          <w:szCs w:val="28"/>
          <w:lang w:val="uk-UA"/>
        </w:rPr>
        <w:t xml:space="preserve">дискваліфікувати (виключити) </w:t>
      </w:r>
      <w:proofErr w:type="spellStart"/>
      <w:r w:rsidRPr="001D7461">
        <w:rPr>
          <w:sz w:val="28"/>
          <w:szCs w:val="28"/>
          <w:lang w:val="uk-UA"/>
        </w:rPr>
        <w:t>проєкт</w:t>
      </w:r>
      <w:proofErr w:type="spellEnd"/>
      <w:r w:rsidRPr="001D7461">
        <w:rPr>
          <w:sz w:val="28"/>
          <w:szCs w:val="28"/>
          <w:lang w:val="uk-UA"/>
        </w:rPr>
        <w:t xml:space="preserve"> на будь-якому етапі;</w:t>
      </w:r>
    </w:p>
    <w:p w:rsidR="009703C4" w:rsidRDefault="009703C4" w:rsidP="009703C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D7461">
        <w:rPr>
          <w:sz w:val="28"/>
          <w:szCs w:val="28"/>
          <w:lang w:val="uk-UA"/>
        </w:rPr>
        <w:t xml:space="preserve">зменшити кількість голосів за поданий </w:t>
      </w:r>
      <w:proofErr w:type="spellStart"/>
      <w:r w:rsidRPr="001D7461">
        <w:rPr>
          <w:sz w:val="28"/>
          <w:szCs w:val="28"/>
          <w:lang w:val="uk-UA"/>
        </w:rPr>
        <w:t>проєкт</w:t>
      </w:r>
      <w:proofErr w:type="spellEnd"/>
      <w:r w:rsidRPr="001D7461">
        <w:rPr>
          <w:sz w:val="28"/>
          <w:szCs w:val="28"/>
          <w:lang w:val="uk-UA"/>
        </w:rPr>
        <w:t xml:space="preserve"> відповідно на кількість недоброчесно отриманих голосів;</w:t>
      </w:r>
    </w:p>
    <w:p w:rsidR="009703C4" w:rsidRDefault="009703C4" w:rsidP="009703C4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1D7461">
        <w:rPr>
          <w:sz w:val="28"/>
          <w:szCs w:val="28"/>
          <w:lang w:val="uk-UA"/>
        </w:rPr>
        <w:t>дискваліфікувати (позбавити права участі у громадському бюджеті) автора(ку)/ співавторів на 1 рік.</w:t>
      </w:r>
    </w:p>
    <w:p w:rsidR="009703C4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E4D4B">
        <w:rPr>
          <w:bCs/>
          <w:color w:val="000000"/>
          <w:sz w:val="28"/>
          <w:szCs w:val="28"/>
          <w:lang w:val="uk-UA"/>
        </w:rPr>
        <w:t>За</w:t>
      </w:r>
      <w:r w:rsidRPr="00EE4D4B">
        <w:rPr>
          <w:sz w:val="28"/>
          <w:szCs w:val="28"/>
          <w:lang w:val="uk-UA"/>
        </w:rPr>
        <w:t xml:space="preserve"> порушення правил поведінки, зазначених в підпунктах 2 – 6 пункту 3 цього розділу, застосовується дискваліфікація (виключення) </w:t>
      </w:r>
      <w:proofErr w:type="spellStart"/>
      <w:r w:rsidRPr="00EE4D4B">
        <w:rPr>
          <w:sz w:val="28"/>
          <w:szCs w:val="28"/>
          <w:lang w:val="uk-UA"/>
        </w:rPr>
        <w:t>проєкту</w:t>
      </w:r>
      <w:proofErr w:type="spellEnd"/>
      <w:r w:rsidRPr="00EE4D4B">
        <w:rPr>
          <w:sz w:val="28"/>
          <w:szCs w:val="28"/>
          <w:lang w:val="uk-UA"/>
        </w:rPr>
        <w:t xml:space="preserve"> з </w:t>
      </w:r>
      <w:r w:rsidRPr="00EE4D4B">
        <w:rPr>
          <w:sz w:val="28"/>
          <w:szCs w:val="28"/>
          <w:lang w:val="uk-UA"/>
        </w:rPr>
        <w:lastRenderedPageBreak/>
        <w:t xml:space="preserve">подальшої участі у визначенні результатів голосування та переліку </w:t>
      </w:r>
      <w:proofErr w:type="spellStart"/>
      <w:r w:rsidRPr="00EE4D4B">
        <w:rPr>
          <w:sz w:val="28"/>
          <w:szCs w:val="28"/>
          <w:lang w:val="uk-UA"/>
        </w:rPr>
        <w:t>проєктів</w:t>
      </w:r>
      <w:proofErr w:type="spellEnd"/>
      <w:r w:rsidRPr="00EE4D4B">
        <w:rPr>
          <w:sz w:val="28"/>
          <w:szCs w:val="28"/>
          <w:lang w:val="uk-UA"/>
        </w:rPr>
        <w:t>-переможців</w:t>
      </w:r>
      <w:r w:rsidRPr="009A23ED">
        <w:rPr>
          <w:sz w:val="28"/>
          <w:szCs w:val="28"/>
          <w:lang w:val="uk-UA"/>
        </w:rPr>
        <w:t>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 xml:space="preserve">При ухвалені рішення щодо дискваліфікації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у</w:t>
      </w:r>
      <w:proofErr w:type="spellEnd"/>
      <w:r w:rsidRPr="00D75F50">
        <w:rPr>
          <w:sz w:val="28"/>
          <w:szCs w:val="28"/>
          <w:lang w:val="uk-UA"/>
        </w:rPr>
        <w:t xml:space="preserve"> Координаційна рада керується чисельністю свідчень про правопорушення, достатньою доказовою базою, безпрецедентністю поведінки авторів, які порушують принципи та дискредитують процес у цілому.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>Ініціювати такий розгляд може сама Координаційна рада без наявної скарги.</w:t>
      </w:r>
    </w:p>
    <w:p w:rsidR="009703C4" w:rsidRPr="00D75F50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 xml:space="preserve">Про ухвалене рішення щодо розгляду скарги/застосування впливу скаржник та особа(би), чиї дії оскаржуються, з використанням засобів зв'язку, наявними у поданих </w:t>
      </w:r>
      <w:proofErr w:type="spellStart"/>
      <w:r>
        <w:rPr>
          <w:sz w:val="28"/>
          <w:szCs w:val="28"/>
          <w:lang w:val="uk-UA"/>
        </w:rPr>
        <w:t>проєкт</w:t>
      </w:r>
      <w:r w:rsidRPr="00D75F50">
        <w:rPr>
          <w:sz w:val="28"/>
          <w:szCs w:val="28"/>
          <w:lang w:val="uk-UA"/>
        </w:rPr>
        <w:t>ах</w:t>
      </w:r>
      <w:proofErr w:type="spellEnd"/>
      <w:r w:rsidRPr="00D75F50">
        <w:rPr>
          <w:sz w:val="28"/>
          <w:szCs w:val="28"/>
          <w:lang w:val="uk-UA"/>
        </w:rPr>
        <w:t>, повідомляються наступного робочого дня.</w:t>
      </w:r>
    </w:p>
    <w:p w:rsidR="009703C4" w:rsidRDefault="009703C4" w:rsidP="009703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5F50">
        <w:rPr>
          <w:sz w:val="28"/>
          <w:szCs w:val="28"/>
          <w:lang w:val="uk-UA"/>
        </w:rPr>
        <w:t xml:space="preserve">Автори, не згодні з рішенням Координаційної ради щодо застосування заходів впливу, мають право протягом трьох робочих днів з дня повідомлення про таке рішення, подати до Координаційної ради апеляційну скаргу. Така розглядається </w:t>
      </w:r>
      <w:r>
        <w:rPr>
          <w:sz w:val="28"/>
          <w:szCs w:val="28"/>
          <w:lang w:val="uk-UA"/>
        </w:rPr>
        <w:t>на черговому засіданні Координаційної ради</w:t>
      </w:r>
      <w:r w:rsidRPr="00D75F50">
        <w:rPr>
          <w:sz w:val="28"/>
          <w:szCs w:val="28"/>
          <w:lang w:val="uk-UA"/>
        </w:rPr>
        <w:t>, за результатами розгляду може бути ухвалене рішення про зняття заходів впливу або про залишення у силі попереднього рішення.</w:t>
      </w:r>
    </w:p>
    <w:p w:rsidR="00362447" w:rsidRPr="009703C4" w:rsidRDefault="009703C4">
      <w:pPr>
        <w:rPr>
          <w:lang w:val="uk-UA"/>
        </w:rPr>
      </w:pPr>
    </w:p>
    <w:sectPr w:rsidR="00362447" w:rsidRPr="0097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57D19"/>
    <w:multiLevelType w:val="hybridMultilevel"/>
    <w:tmpl w:val="E10645A2"/>
    <w:lvl w:ilvl="0" w:tplc="309C41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467E9A"/>
    <w:multiLevelType w:val="hybridMultilevel"/>
    <w:tmpl w:val="28C67C30"/>
    <w:lvl w:ilvl="0" w:tplc="012C3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C4"/>
    <w:rsid w:val="009703C4"/>
    <w:rsid w:val="00CC1338"/>
    <w:rsid w:val="00D4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B9ACC-9BF5-408F-8CA8-942F10A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2021-08-06T12:36:00Z</dcterms:created>
  <dcterms:modified xsi:type="dcterms:W3CDTF">2021-08-06T12:37:00Z</dcterms:modified>
</cp:coreProperties>
</file>