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3D" w:rsidRPr="008752B6" w:rsidRDefault="004E013D" w:rsidP="004E013D">
      <w:pPr>
        <w:pStyle w:val="Default"/>
        <w:ind w:left="5760" w:right="-1" w:firstLine="476"/>
        <w:rPr>
          <w:bCs/>
          <w:sz w:val="28"/>
          <w:szCs w:val="28"/>
          <w:lang w:val="uk-UA"/>
        </w:rPr>
      </w:pPr>
      <w:r w:rsidRPr="008752B6">
        <w:rPr>
          <w:bCs/>
          <w:sz w:val="28"/>
          <w:szCs w:val="28"/>
          <w:lang w:val="uk-UA"/>
        </w:rPr>
        <w:t xml:space="preserve">Додаток 2 </w:t>
      </w:r>
    </w:p>
    <w:p w:rsidR="004E013D" w:rsidRDefault="004E013D" w:rsidP="004E013D">
      <w:pPr>
        <w:pStyle w:val="Default"/>
        <w:ind w:right="-1" w:firstLine="4962"/>
        <w:jc w:val="center"/>
        <w:rPr>
          <w:sz w:val="28"/>
          <w:szCs w:val="28"/>
          <w:lang w:val="uk-UA"/>
        </w:rPr>
      </w:pPr>
      <w:r w:rsidRPr="008752B6">
        <w:rPr>
          <w:sz w:val="28"/>
          <w:szCs w:val="28"/>
          <w:lang w:val="uk-UA"/>
        </w:rPr>
        <w:t>до Положення про громадський</w:t>
      </w:r>
    </w:p>
    <w:p w:rsidR="004E013D" w:rsidRDefault="004E013D" w:rsidP="004E013D">
      <w:pPr>
        <w:pStyle w:val="Default"/>
        <w:tabs>
          <w:tab w:val="left" w:pos="5245"/>
        </w:tabs>
        <w:ind w:right="-1" w:firstLine="4962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 w:rsidRPr="008752B6">
        <w:rPr>
          <w:sz w:val="28"/>
          <w:szCs w:val="28"/>
          <w:lang w:val="uk-UA"/>
        </w:rPr>
        <w:t>партиципаторний</w:t>
      </w:r>
      <w:proofErr w:type="spellEnd"/>
      <w:r w:rsidRPr="008752B6">
        <w:rPr>
          <w:sz w:val="28"/>
          <w:szCs w:val="28"/>
          <w:lang w:val="uk-UA"/>
        </w:rPr>
        <w:t xml:space="preserve">) бюджет </w:t>
      </w:r>
      <w:proofErr w:type="spellStart"/>
      <w:r w:rsidRPr="008752B6">
        <w:rPr>
          <w:sz w:val="28"/>
          <w:szCs w:val="28"/>
          <w:lang w:val="uk-UA"/>
        </w:rPr>
        <w:t>м.Суми</w:t>
      </w:r>
      <w:proofErr w:type="spellEnd"/>
    </w:p>
    <w:p w:rsidR="004E013D" w:rsidRDefault="004E013D" w:rsidP="004E013D">
      <w:pPr>
        <w:pStyle w:val="Default"/>
        <w:ind w:right="340" w:firstLine="4962"/>
        <w:jc w:val="center"/>
        <w:rPr>
          <w:b/>
          <w:bCs/>
          <w:sz w:val="28"/>
          <w:szCs w:val="28"/>
          <w:lang w:val="uk-UA"/>
        </w:rPr>
      </w:pP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4E013D" w:rsidRPr="008752B6" w:rsidRDefault="00074214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="00D5070E">
        <w:rPr>
          <w:b/>
          <w:bCs/>
          <w:sz w:val="28"/>
          <w:szCs w:val="28"/>
          <w:lang w:val="uk-UA"/>
        </w:rPr>
        <w:t>Спортивний простір «Єдність нації»</w:t>
      </w:r>
    </w:p>
    <w:p w:rsidR="004E013D" w:rsidRPr="008752B6" w:rsidRDefault="004E013D" w:rsidP="004E013D">
      <w:pPr>
        <w:pStyle w:val="Default"/>
        <w:ind w:right="340"/>
        <w:jc w:val="center"/>
        <w:rPr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>назва проекту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lang w:val="uk-UA"/>
        </w:rPr>
      </w:pPr>
    </w:p>
    <w:p w:rsidR="004E013D" w:rsidRPr="008752B6" w:rsidRDefault="004E013D" w:rsidP="004E013D">
      <w:pPr>
        <w:pStyle w:val="Default"/>
        <w:ind w:right="340"/>
        <w:jc w:val="both"/>
        <w:rPr>
          <w:lang w:val="uk-UA"/>
        </w:rPr>
      </w:pPr>
    </w:p>
    <w:p w:rsidR="00A47E64" w:rsidRDefault="004E013D" w:rsidP="009A0DF7">
      <w:pPr>
        <w:pStyle w:val="Default"/>
        <w:ind w:right="-1"/>
        <w:rPr>
          <w:i/>
          <w:iCs/>
          <w:lang w:val="uk-UA"/>
        </w:rPr>
      </w:pPr>
      <w:r w:rsidRPr="008752B6">
        <w:rPr>
          <w:b/>
          <w:bCs/>
          <w:lang w:val="uk-UA"/>
        </w:rPr>
        <w:t>Відповідальний</w:t>
      </w:r>
      <w:r w:rsidR="00A47E64">
        <w:rPr>
          <w:b/>
          <w:bCs/>
          <w:lang w:val="uk-UA"/>
        </w:rPr>
        <w:t xml:space="preserve">: </w:t>
      </w:r>
      <w:r w:rsidR="00A47E64" w:rsidRPr="00670148">
        <w:rPr>
          <w:b/>
          <w:bCs/>
          <w:lang w:val="uk-UA"/>
        </w:rPr>
        <w:t>Управління капітального будівництва та дорожнього господарства Сумської міської ради</w:t>
      </w:r>
      <w:r w:rsidRPr="008752B6">
        <w:rPr>
          <w:lang w:val="uk-UA"/>
        </w:rPr>
        <w:t xml:space="preserve">  </w:t>
      </w:r>
      <w:r w:rsidRPr="008752B6">
        <w:rPr>
          <w:i/>
          <w:iCs/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rPr>
          <w:i/>
          <w:iCs/>
          <w:lang w:val="uk-UA"/>
        </w:rPr>
      </w:pPr>
      <w:r w:rsidRPr="008752B6">
        <w:rPr>
          <w:i/>
          <w:iCs/>
          <w:lang w:val="uk-UA"/>
        </w:rPr>
        <w:t>( виконавчий орган Сумської міської ради, відповідальний за реалізацію проекту)</w:t>
      </w:r>
    </w:p>
    <w:p w:rsidR="004E013D" w:rsidRPr="008752B6" w:rsidRDefault="004E013D" w:rsidP="009A0DF7">
      <w:pPr>
        <w:pStyle w:val="Default"/>
        <w:ind w:right="-1"/>
        <w:rPr>
          <w:b/>
          <w:bCs/>
          <w:sz w:val="28"/>
          <w:szCs w:val="28"/>
          <w:lang w:val="uk-UA"/>
        </w:rPr>
      </w:pP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b/>
          <w:bCs/>
          <w:lang w:val="uk-UA"/>
        </w:rPr>
        <w:t>Зміст заходу:</w:t>
      </w:r>
      <w:r w:rsidRPr="008752B6"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4E013D" w:rsidRPr="008752B6" w:rsidRDefault="004E013D" w:rsidP="009A0DF7">
      <w:pPr>
        <w:pStyle w:val="Default"/>
        <w:ind w:right="-1"/>
        <w:rPr>
          <w:b/>
          <w:bCs/>
          <w:lang w:val="uk-UA"/>
        </w:rPr>
      </w:pP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1. Включено до реєстру поданих проектів за № </w:t>
      </w:r>
      <w:r w:rsidR="00D5070E">
        <w:rPr>
          <w:lang w:val="uk-UA"/>
        </w:rPr>
        <w:t>62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2. Запропонований проект входить до повноважень Сумської міської ради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   </w:t>
      </w:r>
      <w:r w:rsidRPr="008752B6">
        <w:rPr>
          <w:lang w:val="uk-UA"/>
        </w:rPr>
        <w:t xml:space="preserve">                                                  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3. Запропонований проект відповідає чинному законодавству та нормативно правовим актам, у т.ч.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</w:t>
      </w:r>
      <w:r w:rsidRPr="008752B6">
        <w:rPr>
          <w:lang w:val="uk-UA"/>
        </w:rPr>
        <w:t xml:space="preserve">                                                     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>так</w:t>
      </w:r>
      <w:r w:rsidRPr="008752B6">
        <w:rPr>
          <w:lang w:val="uk-UA"/>
        </w:rPr>
        <w:t xml:space="preserve"> 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5. Висновок стосовно технічних можливостей реалізації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A47E64" w:rsidRDefault="004E013D" w:rsidP="009A0DF7">
      <w:pPr>
        <w:pStyle w:val="Default"/>
        <w:ind w:right="-1"/>
        <w:rPr>
          <w:b/>
          <w:u w:val="single"/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позитивний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негативний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6. Проект не передбачає виключно розробку проектно-кошторисної документації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8813BC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>б)</w:t>
      </w:r>
      <w:r w:rsidRPr="008813BC">
        <w:rPr>
          <w:lang w:val="uk-UA"/>
        </w:rPr>
        <w:t xml:space="preserve"> ні</w:t>
      </w:r>
      <w:r w:rsidRPr="00A47E64">
        <w:rPr>
          <w:b/>
          <w:u w:val="single"/>
          <w:lang w:val="uk-UA"/>
        </w:rPr>
        <w:t xml:space="preserve">  </w:t>
      </w:r>
      <w:r w:rsidRPr="008752B6">
        <w:rPr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074214">
        <w:rPr>
          <w:lang w:val="uk-UA"/>
        </w:rPr>
        <w:t>так</w:t>
      </w:r>
    </w:p>
    <w:p w:rsidR="008813BC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</w:t>
      </w:r>
      <w:r w:rsidRPr="00074214">
        <w:rPr>
          <w:b/>
          <w:u w:val="single"/>
          <w:lang w:val="uk-UA"/>
        </w:rPr>
        <w:t>ні (обґрунтувати)</w:t>
      </w:r>
      <w:r w:rsidRPr="008752B6">
        <w:rPr>
          <w:lang w:val="uk-UA"/>
        </w:rPr>
        <w:t xml:space="preserve"> </w:t>
      </w:r>
    </w:p>
    <w:p w:rsidR="004E013D" w:rsidRPr="008752B6" w:rsidRDefault="00074214" w:rsidP="009A0DF7">
      <w:pPr>
        <w:pStyle w:val="Default"/>
        <w:ind w:right="-1"/>
        <w:rPr>
          <w:lang w:val="uk-UA"/>
        </w:rPr>
      </w:pPr>
      <w:r>
        <w:rPr>
          <w:lang w:val="uk-UA"/>
        </w:rPr>
        <w:t>Потребує подальшого утримання та визначення балансоутримувача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lastRenderedPageBreak/>
        <w:t xml:space="preserve">8. Проект не суперечить діючим </w:t>
      </w:r>
      <w:r w:rsidR="00A47E64">
        <w:rPr>
          <w:lang w:val="uk-UA"/>
        </w:rPr>
        <w:t xml:space="preserve">програмам розвитку міста та не </w:t>
      </w:r>
      <w:r w:rsidRPr="008752B6">
        <w:rPr>
          <w:lang w:val="uk-UA"/>
        </w:rPr>
        <w:t xml:space="preserve">дублює завдання, які передбачені цими програмами і плануються для реалізації на відповідний бюджетний рік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ні (обґрунтування в якій частині суперечить вимогам)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ні     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10. Територія/земельна ділянка/об’єкт, на якій (якому) відбуватиметься реалізація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є такою/таким, на якій (якому) можливо здійснювати реалізацію відповідного проекту за  рахунок коштів міського бюджету м. Суми;</w:t>
      </w:r>
      <w:r w:rsidRPr="008752B6">
        <w:rPr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не належить до переліку територій/земельних ділянок/об’єктів, на яких можливо здійснювати реалізацію відповідного проекту за  рахунок коштів міського бюджету м. Суми</w:t>
      </w:r>
      <w:r w:rsidRPr="008752B6">
        <w:rPr>
          <w:i/>
          <w:iCs/>
          <w:lang w:val="uk-UA"/>
        </w:rPr>
        <w:t xml:space="preserve"> (обґрунтування)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>в) не стосується проекту.</w:t>
      </w:r>
    </w:p>
    <w:p w:rsidR="00F05FA7" w:rsidRDefault="00F05FA7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11. Витрати за кошторисом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приймається без додаткових зауважень </w:t>
      </w:r>
    </w:p>
    <w:p w:rsidR="00F05FA7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8813BC">
        <w:rPr>
          <w:b/>
          <w:u w:val="single"/>
          <w:lang w:val="uk-UA"/>
        </w:rPr>
        <w:t>з зауваженнями</w:t>
      </w:r>
      <w:r w:rsidRPr="008752B6">
        <w:rPr>
          <w:lang w:val="uk-UA"/>
        </w:rPr>
        <w:t xml:space="preserve"> (необхідно внести або уточнити їх, використовуючи для обґрунтування дані, наведені в таблиці нижче)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253"/>
        <w:gridCol w:w="1227"/>
        <w:gridCol w:w="1336"/>
        <w:gridCol w:w="1139"/>
        <w:gridCol w:w="1226"/>
        <w:gridCol w:w="1261"/>
      </w:tblGrid>
      <w:tr w:rsidR="004E013D" w:rsidRPr="008752B6" w:rsidTr="00171CE0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26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0B1FB8" w:rsidRPr="008752B6" w:rsidTr="00171CE0">
        <w:tc>
          <w:tcPr>
            <w:tcW w:w="2186" w:type="dxa"/>
            <w:vMerge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27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36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26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61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D5070E" w:rsidRPr="008752B6" w:rsidTr="00171CE0">
        <w:tc>
          <w:tcPr>
            <w:tcW w:w="2186" w:type="dxa"/>
            <w:shd w:val="clear" w:color="auto" w:fill="auto"/>
          </w:tcPr>
          <w:p w:rsidR="00D5070E" w:rsidRPr="00D5070E" w:rsidRDefault="00D5070E" w:rsidP="00D5070E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Огорожа, секції (3000х2000) + монтажні роботи</w:t>
            </w:r>
          </w:p>
        </w:tc>
        <w:tc>
          <w:tcPr>
            <w:tcW w:w="1253" w:type="dxa"/>
            <w:shd w:val="clear" w:color="auto" w:fill="auto"/>
          </w:tcPr>
          <w:p w:rsidR="00D5070E" w:rsidRPr="00D5070E" w:rsidRDefault="00D5070E" w:rsidP="00D5070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 xml:space="preserve">180 </w:t>
            </w:r>
            <w:proofErr w:type="spellStart"/>
            <w:r w:rsidRPr="00D5070E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D5070E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27" w:type="dxa"/>
            <w:shd w:val="clear" w:color="auto" w:fill="auto"/>
          </w:tcPr>
          <w:p w:rsidR="00D5070E" w:rsidRPr="00D5070E" w:rsidRDefault="00D5070E" w:rsidP="00D5070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820</w:t>
            </w:r>
          </w:p>
        </w:tc>
        <w:tc>
          <w:tcPr>
            <w:tcW w:w="1336" w:type="dxa"/>
            <w:shd w:val="clear" w:color="auto" w:fill="auto"/>
          </w:tcPr>
          <w:p w:rsidR="00D5070E" w:rsidRPr="00D5070E" w:rsidRDefault="00D5070E" w:rsidP="00D5070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147600</w:t>
            </w:r>
          </w:p>
        </w:tc>
        <w:tc>
          <w:tcPr>
            <w:tcW w:w="1139" w:type="dxa"/>
            <w:shd w:val="clear" w:color="auto" w:fill="auto"/>
          </w:tcPr>
          <w:p w:rsidR="00D5070E" w:rsidRPr="00D5070E" w:rsidRDefault="00D5070E" w:rsidP="00D5070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D5070E" w:rsidRPr="00D5070E" w:rsidRDefault="00D5070E" w:rsidP="00D5070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D5070E" w:rsidRPr="00D5070E" w:rsidRDefault="00D5070E" w:rsidP="00D5070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71CE0" w:rsidRPr="008752B6" w:rsidTr="00171CE0"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Огорожа, секції (</w:t>
            </w:r>
            <w:r>
              <w:rPr>
                <w:rFonts w:eastAsia="Arial Unicode MS"/>
                <w:sz w:val="22"/>
                <w:szCs w:val="22"/>
              </w:rPr>
              <w:t>1460</w:t>
            </w:r>
            <w:r w:rsidRPr="00D5070E">
              <w:rPr>
                <w:rFonts w:eastAsia="Arial Unicode MS"/>
                <w:sz w:val="22"/>
                <w:szCs w:val="22"/>
              </w:rPr>
              <w:t>х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D5070E">
              <w:rPr>
                <w:rFonts w:eastAsia="Arial Unicode MS"/>
                <w:sz w:val="22"/>
                <w:szCs w:val="22"/>
              </w:rPr>
              <w:t>000) + монтажні роботи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98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D5070E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D5070E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171CE0" w:rsidRPr="00946489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1279,02</w:t>
            </w:r>
          </w:p>
        </w:tc>
        <w:tc>
          <w:tcPr>
            <w:tcW w:w="1261" w:type="dxa"/>
            <w:shd w:val="clear" w:color="auto" w:fill="auto"/>
          </w:tcPr>
          <w:p w:rsidR="00171CE0" w:rsidRPr="004F372F" w:rsidRDefault="00171CE0" w:rsidP="0017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125343,96</w:t>
            </w:r>
          </w:p>
        </w:tc>
      </w:tr>
      <w:tr w:rsidR="00171CE0" w:rsidRPr="008752B6" w:rsidTr="00171CE0"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Улаштування бетонного покриття 100 мм (Ціна з урахуванням 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700 м2</w:t>
            </w: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380 грн/м2</w:t>
            </w: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266000</w:t>
            </w: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71CE0" w:rsidRPr="008752B6" w:rsidTr="00171CE0"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Улаштування бетонного покриття 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D5070E">
              <w:rPr>
                <w:rFonts w:eastAsia="Arial Unicode MS"/>
                <w:sz w:val="22"/>
                <w:szCs w:val="22"/>
              </w:rPr>
              <w:t>0 мм (Ціна з урахуванням 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592,02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м2</w:t>
            </w:r>
          </w:p>
        </w:tc>
        <w:tc>
          <w:tcPr>
            <w:tcW w:w="1226" w:type="dxa"/>
            <w:shd w:val="clear" w:color="auto" w:fill="auto"/>
          </w:tcPr>
          <w:p w:rsidR="00171CE0" w:rsidRPr="00946489" w:rsidRDefault="00171CE0" w:rsidP="0017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339,56</w:t>
            </w:r>
          </w:p>
        </w:tc>
        <w:tc>
          <w:tcPr>
            <w:tcW w:w="1261" w:type="dxa"/>
            <w:shd w:val="clear" w:color="auto" w:fill="auto"/>
          </w:tcPr>
          <w:p w:rsidR="00171CE0" w:rsidRPr="00946489" w:rsidRDefault="00171CE0" w:rsidP="0017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201026,31</w:t>
            </w:r>
          </w:p>
        </w:tc>
      </w:tr>
      <w:tr w:rsidR="00171CE0" w:rsidRPr="008752B6" w:rsidTr="00171CE0"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Улаштування резинового покриття 16 мм (Ціна з урахуванням 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700 м2</w:t>
            </w: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740 грн/м2</w:t>
            </w: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518000</w:t>
            </w: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71CE0" w:rsidRPr="008752B6" w:rsidTr="00171CE0"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Улаштування резинового покриття 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мм (Ціна з урахуванням </w:t>
            </w:r>
            <w:r w:rsidRPr="00D5070E">
              <w:rPr>
                <w:rFonts w:eastAsia="Arial Unicode MS"/>
                <w:sz w:val="22"/>
                <w:szCs w:val="22"/>
              </w:rPr>
              <w:lastRenderedPageBreak/>
              <w:t>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592,02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м2</w:t>
            </w:r>
          </w:p>
        </w:tc>
        <w:tc>
          <w:tcPr>
            <w:tcW w:w="1226" w:type="dxa"/>
            <w:shd w:val="clear" w:color="auto" w:fill="auto"/>
          </w:tcPr>
          <w:p w:rsidR="00171CE0" w:rsidRPr="00946489" w:rsidRDefault="00171CE0" w:rsidP="0017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727,68</w:t>
            </w:r>
          </w:p>
        </w:tc>
        <w:tc>
          <w:tcPr>
            <w:tcW w:w="1261" w:type="dxa"/>
            <w:shd w:val="clear" w:color="auto" w:fill="auto"/>
          </w:tcPr>
          <w:p w:rsidR="00171CE0" w:rsidRPr="00946489" w:rsidRDefault="00171CE0" w:rsidP="0017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430801,11</w:t>
            </w:r>
          </w:p>
        </w:tc>
      </w:tr>
      <w:tr w:rsidR="00171CE0" w:rsidRPr="008752B6" w:rsidTr="00171CE0">
        <w:trPr>
          <w:trHeight w:val="241"/>
        </w:trPr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D5070E">
              <w:rPr>
                <w:rFonts w:eastAsia="Arial Unicode MS"/>
                <w:sz w:val="22"/>
                <w:szCs w:val="22"/>
              </w:rPr>
              <w:lastRenderedPageBreak/>
              <w:t>Стійки</w:t>
            </w:r>
            <w:proofErr w:type="spellEnd"/>
            <w:r w:rsidRPr="00D5070E">
              <w:rPr>
                <w:rFonts w:eastAsia="Arial Unicode MS"/>
                <w:sz w:val="22"/>
                <w:szCs w:val="22"/>
              </w:rPr>
              <w:t xml:space="preserve"> для волейболу з сіткою (Ціна з урахуванням 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комплект</w:t>
            </w: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36000</w:t>
            </w: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36000</w:t>
            </w: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комплект</w:t>
            </w:r>
          </w:p>
        </w:tc>
        <w:tc>
          <w:tcPr>
            <w:tcW w:w="122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7416,00</w:t>
            </w:r>
          </w:p>
        </w:tc>
        <w:tc>
          <w:tcPr>
            <w:tcW w:w="1261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7416,00</w:t>
            </w:r>
          </w:p>
        </w:tc>
      </w:tr>
      <w:tr w:rsidR="00171CE0" w:rsidRPr="008752B6" w:rsidTr="00171CE0">
        <w:trPr>
          <w:trHeight w:val="135"/>
        </w:trPr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D5070E">
              <w:rPr>
                <w:rFonts w:eastAsia="Arial Unicode MS"/>
                <w:sz w:val="22"/>
                <w:szCs w:val="22"/>
              </w:rPr>
              <w:t>Стійки</w:t>
            </w:r>
            <w:proofErr w:type="spellEnd"/>
            <w:r w:rsidRPr="00D5070E">
              <w:rPr>
                <w:rFonts w:eastAsia="Arial Unicode MS"/>
                <w:sz w:val="22"/>
                <w:szCs w:val="22"/>
              </w:rPr>
              <w:t xml:space="preserve"> для баскетболу (Ціна з урахуванням 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12500</w:t>
            </w: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25000</w:t>
            </w: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71CE0" w:rsidRPr="008752B6" w:rsidTr="00171CE0">
        <w:trPr>
          <w:trHeight w:val="135"/>
        </w:trPr>
        <w:tc>
          <w:tcPr>
            <w:tcW w:w="2186" w:type="dxa"/>
            <w:shd w:val="clear" w:color="auto" w:fill="auto"/>
          </w:tcPr>
          <w:p w:rsidR="00171CE0" w:rsidRPr="00D5070E" w:rsidRDefault="00171CE0" w:rsidP="00171CE0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Футбольні ворота з баскетбольним щитом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(Ціна з урахуванням матеріалу та виконання робіт)</w:t>
            </w:r>
          </w:p>
        </w:tc>
        <w:tc>
          <w:tcPr>
            <w:tcW w:w="1253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171CE0" w:rsidRPr="00D5070E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6" w:type="dxa"/>
            <w:shd w:val="clear" w:color="auto" w:fill="auto"/>
          </w:tcPr>
          <w:p w:rsidR="00171CE0" w:rsidRPr="005F41D7" w:rsidRDefault="00171CE0" w:rsidP="00171CE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11794,50</w:t>
            </w:r>
          </w:p>
        </w:tc>
        <w:tc>
          <w:tcPr>
            <w:tcW w:w="1261" w:type="dxa"/>
            <w:shd w:val="clear" w:color="auto" w:fill="auto"/>
          </w:tcPr>
          <w:p w:rsidR="00171CE0" w:rsidRDefault="00171CE0" w:rsidP="00171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23589,00</w:t>
            </w:r>
          </w:p>
        </w:tc>
      </w:tr>
      <w:tr w:rsidR="00351522" w:rsidRPr="008752B6" w:rsidTr="00954980">
        <w:trPr>
          <w:trHeight w:val="118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Турнік для дітей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8350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16700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6680,00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5152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13360,00</w:t>
            </w:r>
          </w:p>
        </w:tc>
      </w:tr>
      <w:tr w:rsidR="00351522" w:rsidRPr="008752B6" w:rsidTr="00351522">
        <w:trPr>
          <w:trHeight w:val="118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Пісочниця для дітей інвалідів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8300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8300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6640,00</w:t>
            </w:r>
          </w:p>
        </w:tc>
        <w:tc>
          <w:tcPr>
            <w:tcW w:w="1261" w:type="dxa"/>
            <w:shd w:val="clear" w:color="auto" w:fill="auto"/>
          </w:tcPr>
          <w:p w:rsidR="00351522" w:rsidRPr="00ED3B1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6640,00</w:t>
            </w:r>
          </w:p>
        </w:tc>
      </w:tr>
      <w:tr w:rsidR="00351522" w:rsidRPr="008752B6" w:rsidTr="00351522">
        <w:trPr>
          <w:trHeight w:val="135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Гойдалка для дітей інвалідів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19800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39600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15840,00</w:t>
            </w:r>
          </w:p>
        </w:tc>
        <w:tc>
          <w:tcPr>
            <w:tcW w:w="1261" w:type="dxa"/>
            <w:shd w:val="clear" w:color="auto" w:fill="auto"/>
          </w:tcPr>
          <w:p w:rsidR="0035152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31680,00</w:t>
            </w:r>
          </w:p>
        </w:tc>
      </w:tr>
      <w:tr w:rsidR="00351522" w:rsidRPr="008752B6" w:rsidTr="00351522">
        <w:trPr>
          <w:trHeight w:val="135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Карусель №1 для дітей інвалідів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35600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35600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28480,00</w:t>
            </w:r>
          </w:p>
        </w:tc>
        <w:tc>
          <w:tcPr>
            <w:tcW w:w="1261" w:type="dxa"/>
            <w:shd w:val="clear" w:color="auto" w:fill="auto"/>
          </w:tcPr>
          <w:p w:rsidR="0035152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28480,00</w:t>
            </w:r>
          </w:p>
        </w:tc>
      </w:tr>
      <w:tr w:rsidR="00351522" w:rsidRPr="008752B6" w:rsidTr="00351522">
        <w:trPr>
          <w:trHeight w:val="90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Пісочниця дворівнева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18300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18300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14640,00</w:t>
            </w:r>
          </w:p>
        </w:tc>
        <w:tc>
          <w:tcPr>
            <w:tcW w:w="1261" w:type="dxa"/>
            <w:shd w:val="clear" w:color="auto" w:fill="auto"/>
          </w:tcPr>
          <w:p w:rsidR="0035152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14640,00</w:t>
            </w:r>
          </w:p>
        </w:tc>
      </w:tr>
      <w:tr w:rsidR="00351522" w:rsidRPr="008752B6" w:rsidTr="00351522">
        <w:trPr>
          <w:trHeight w:val="103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Щит баскетбольний для дітей інвалідів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7900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15800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6320,00</w:t>
            </w:r>
          </w:p>
        </w:tc>
        <w:tc>
          <w:tcPr>
            <w:tcW w:w="1261" w:type="dxa"/>
            <w:shd w:val="clear" w:color="auto" w:fill="auto"/>
          </w:tcPr>
          <w:p w:rsidR="0035152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12640,00</w:t>
            </w:r>
          </w:p>
        </w:tc>
      </w:tr>
      <w:tr w:rsidR="00351522" w:rsidRPr="008752B6" w:rsidTr="00351522">
        <w:trPr>
          <w:trHeight w:val="135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Карусель №2 для дітей інвалідів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37300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37300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226" w:type="dxa"/>
            <w:shd w:val="clear" w:color="auto" w:fill="auto"/>
          </w:tcPr>
          <w:p w:rsidR="00351522" w:rsidRPr="005F41D7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29840,00</w:t>
            </w:r>
          </w:p>
        </w:tc>
        <w:tc>
          <w:tcPr>
            <w:tcW w:w="1261" w:type="dxa"/>
            <w:shd w:val="clear" w:color="auto" w:fill="auto"/>
          </w:tcPr>
          <w:p w:rsidR="00351522" w:rsidRDefault="00351522" w:rsidP="00351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29840,00</w:t>
            </w:r>
          </w:p>
        </w:tc>
      </w:tr>
      <w:tr w:rsidR="00351522" w:rsidRPr="008752B6" w:rsidTr="00171CE0">
        <w:trPr>
          <w:trHeight w:val="120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Роботи з монтажу тренажерів</w:t>
            </w:r>
          </w:p>
        </w:tc>
        <w:tc>
          <w:tcPr>
            <w:tcW w:w="1253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24600</w:t>
            </w:r>
          </w:p>
        </w:tc>
        <w:tc>
          <w:tcPr>
            <w:tcW w:w="133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24600</w:t>
            </w:r>
          </w:p>
        </w:tc>
        <w:tc>
          <w:tcPr>
            <w:tcW w:w="1139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D5070E" w:rsidRDefault="00351522" w:rsidP="0035152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18680,00</w:t>
            </w:r>
          </w:p>
        </w:tc>
      </w:tr>
      <w:tr w:rsidR="00351522" w:rsidRPr="008752B6" w:rsidTr="00171CE0">
        <w:trPr>
          <w:trHeight w:val="135"/>
        </w:trPr>
        <w:tc>
          <w:tcPr>
            <w:tcW w:w="2186" w:type="dxa"/>
            <w:shd w:val="clear" w:color="auto" w:fill="auto"/>
          </w:tcPr>
          <w:p w:rsidR="00351522" w:rsidRPr="00D5070E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Доставка обладнання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5000,00</w:t>
            </w:r>
          </w:p>
        </w:tc>
      </w:tr>
      <w:tr w:rsidR="00351522" w:rsidRPr="000B1FB8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5000,00</w:t>
            </w:r>
          </w:p>
        </w:tc>
      </w:tr>
      <w:tr w:rsidR="00351522" w:rsidRPr="000B1FB8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Виготовлення проектно-кошторисної документації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56648,18</w:t>
            </w:r>
          </w:p>
        </w:tc>
      </w:tr>
      <w:tr w:rsidR="00351522" w:rsidRPr="000B1FB8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Експертиза проектно-кошторисної документації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4050,00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5400,00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23603,41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69866,10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13029,08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18882,73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 xml:space="preserve">Кошти на покриття додаткових витрат, </w:t>
            </w:r>
            <w:r w:rsidRPr="000B1FB8">
              <w:rPr>
                <w:rFonts w:eastAsia="Arial Unicode MS"/>
                <w:sz w:val="22"/>
                <w:szCs w:val="22"/>
              </w:rPr>
              <w:lastRenderedPageBreak/>
              <w:t>пов’язаних з інфляційними процесами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103949,42</w:t>
            </w:r>
          </w:p>
        </w:tc>
      </w:tr>
      <w:tr w:rsidR="00351522" w:rsidRPr="008813BC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ПДВ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249913,06</w:t>
            </w:r>
          </w:p>
        </w:tc>
      </w:tr>
      <w:tr w:rsidR="00351522" w:rsidRPr="000B1FB8" w:rsidTr="00171CE0">
        <w:trPr>
          <w:trHeight w:val="375"/>
        </w:trPr>
        <w:tc>
          <w:tcPr>
            <w:tcW w:w="218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253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51522" w:rsidRPr="000B1FB8" w:rsidRDefault="00351522" w:rsidP="00351522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1188800</w:t>
            </w:r>
          </w:p>
        </w:tc>
        <w:tc>
          <w:tcPr>
            <w:tcW w:w="1139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61" w:type="dxa"/>
            <w:shd w:val="clear" w:color="auto" w:fill="auto"/>
          </w:tcPr>
          <w:p w:rsidR="00351522" w:rsidRPr="000B1FB8" w:rsidRDefault="00351522" w:rsidP="00351522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1499478,36</w:t>
            </w:r>
          </w:p>
        </w:tc>
      </w:tr>
    </w:tbl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Загальна сума проекту, пропонова</w:t>
      </w:r>
      <w:r w:rsidR="00F05FA7">
        <w:t xml:space="preserve">на автором, складає </w:t>
      </w:r>
      <w:r w:rsidR="00D5070E">
        <w:t>1188800</w:t>
      </w:r>
      <w:r w:rsidR="00C931D7" w:rsidRPr="00C931D7">
        <w:t>,0</w:t>
      </w:r>
      <w:r w:rsidR="00C931D7">
        <w:rPr>
          <w:color w:val="FF0000"/>
        </w:rPr>
        <w:t xml:space="preserve"> </w:t>
      </w:r>
      <w:r w:rsidRPr="008752B6">
        <w:t>гривень.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  <w:rPr>
          <w:i/>
        </w:rPr>
      </w:pPr>
      <w:r w:rsidRPr="008752B6">
        <w:t>Загальна сума проекту, відкоригована згідно з зауваженнями виконавчо</w:t>
      </w:r>
      <w:r w:rsidR="003D3971">
        <w:t xml:space="preserve">го органу, складає </w:t>
      </w:r>
      <w:r w:rsidR="00171CE0">
        <w:t>1499478,36</w:t>
      </w:r>
      <w:r w:rsidR="003D3971">
        <w:t xml:space="preserve"> </w:t>
      </w:r>
      <w:r w:rsidRPr="008752B6">
        <w:t xml:space="preserve">гривень </w:t>
      </w:r>
      <w:r w:rsidRPr="008752B6">
        <w:rPr>
          <w:i/>
        </w:rPr>
        <w:t>(заповнюється за потреби)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Обґрунтування внесених змін:</w:t>
      </w:r>
    </w:p>
    <w:p w:rsidR="00F138B3" w:rsidRPr="00351522" w:rsidRDefault="00F138B3" w:rsidP="001C37D2">
      <w:pPr>
        <w:pStyle w:val="Default"/>
        <w:ind w:right="-1"/>
        <w:jc w:val="both"/>
        <w:rPr>
          <w:b/>
          <w:lang w:val="uk-UA"/>
        </w:rPr>
      </w:pPr>
      <w:proofErr w:type="spellStart"/>
      <w:r>
        <w:t>Орієнтовна</w:t>
      </w:r>
      <w:proofErr w:type="spellEnd"/>
      <w:r>
        <w:t xml:space="preserve"> </w:t>
      </w:r>
      <w:proofErr w:type="spellStart"/>
      <w:r>
        <w:t>вар</w:t>
      </w:r>
      <w:r w:rsidR="003D3971">
        <w:t>тість</w:t>
      </w:r>
      <w:proofErr w:type="spellEnd"/>
      <w:r w:rsidR="003D3971">
        <w:t xml:space="preserve"> </w:t>
      </w:r>
      <w:proofErr w:type="spellStart"/>
      <w:r w:rsidR="003D3971">
        <w:t>будівництва</w:t>
      </w:r>
      <w:proofErr w:type="spellEnd"/>
      <w:r w:rsidR="003D3971">
        <w:t xml:space="preserve"> </w:t>
      </w:r>
      <w:proofErr w:type="spellStart"/>
      <w:r w:rsidR="003D3971">
        <w:t>складає</w:t>
      </w:r>
      <w:proofErr w:type="spellEnd"/>
      <w:r w:rsidR="003D3971">
        <w:t xml:space="preserve"> </w:t>
      </w:r>
      <w:r w:rsidR="00171CE0">
        <w:t>1499478,36</w:t>
      </w:r>
      <w:r>
        <w:t xml:space="preserve"> </w:t>
      </w:r>
      <w:proofErr w:type="spellStart"/>
      <w:r>
        <w:t>грн</w:t>
      </w:r>
      <w:proofErr w:type="spellEnd"/>
      <w:r>
        <w:t xml:space="preserve">, а </w:t>
      </w:r>
      <w:proofErr w:type="spellStart"/>
      <w:r>
        <w:t>остаточна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робочим</w:t>
      </w:r>
      <w:proofErr w:type="spellEnd"/>
      <w:r>
        <w:t xml:space="preserve"> проектом. При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проекту а</w:t>
      </w:r>
      <w:r w:rsidRPr="00D5070E">
        <w:t xml:space="preserve">втором не </w:t>
      </w:r>
      <w:proofErr w:type="spellStart"/>
      <w:r w:rsidRPr="00D5070E">
        <w:t>враховано</w:t>
      </w:r>
      <w:proofErr w:type="spellEnd"/>
      <w:r w:rsidRPr="00D5070E">
        <w:t xml:space="preserve"> </w:t>
      </w:r>
      <w:proofErr w:type="spellStart"/>
      <w:r w:rsidRPr="00D5070E">
        <w:t>витрати</w:t>
      </w:r>
      <w:proofErr w:type="spellEnd"/>
      <w:r w:rsidRPr="00D5070E">
        <w:t xml:space="preserve"> на</w:t>
      </w:r>
      <w:r w:rsidR="001C37D2" w:rsidRPr="00D5070E">
        <w:rPr>
          <w:lang w:val="uk-UA"/>
        </w:rPr>
        <w:t xml:space="preserve"> </w:t>
      </w:r>
      <w:r w:rsidR="00D5070E" w:rsidRPr="00D5070E">
        <w:rPr>
          <w:lang w:val="uk-UA"/>
        </w:rPr>
        <w:t xml:space="preserve">доставку обладнання, </w:t>
      </w:r>
      <w:r w:rsidR="00D5070E">
        <w:rPr>
          <w:lang w:val="uk-UA"/>
        </w:rPr>
        <w:t>о</w:t>
      </w:r>
      <w:r w:rsidR="00D5070E" w:rsidRPr="00D5070E">
        <w:rPr>
          <w:bCs/>
          <w:lang w:val="uk-UA"/>
        </w:rPr>
        <w:t xml:space="preserve">блаштування вуличного покриття (земляні роботи, влаштування піщано-гравійної основи, армування бетонної основи, гідроізоляція), </w:t>
      </w:r>
      <w:r w:rsidR="00447A6A">
        <w:rPr>
          <w:lang w:val="uk-UA"/>
        </w:rPr>
        <w:t xml:space="preserve">вишукувальні роботи, </w:t>
      </w:r>
      <w:r w:rsidR="00D5070E">
        <w:rPr>
          <w:lang w:val="uk-UA"/>
        </w:rPr>
        <w:t xml:space="preserve">виготовлення </w:t>
      </w:r>
      <w:r w:rsidR="001C37D2">
        <w:rPr>
          <w:lang w:val="uk-UA"/>
        </w:rPr>
        <w:t>проектно-кошторисної документації</w:t>
      </w:r>
      <w:r w:rsidR="00D5070E">
        <w:rPr>
          <w:lang w:val="uk-UA"/>
        </w:rPr>
        <w:t xml:space="preserve"> та проведення її експертизи</w:t>
      </w:r>
      <w:r w:rsidR="001C37D2">
        <w:rPr>
          <w:lang w:val="uk-UA"/>
        </w:rPr>
        <w:t>, здійснення авторського та технічного нагляду</w:t>
      </w:r>
      <w:r w:rsidR="00BB34BB">
        <w:rPr>
          <w:lang w:val="uk-UA"/>
        </w:rPr>
        <w:t>,</w:t>
      </w:r>
      <w:r>
        <w:t xml:space="preserve"> </w:t>
      </w:r>
      <w:proofErr w:type="spellStart"/>
      <w:r w:rsidR="000D3100">
        <w:rPr>
          <w:lang w:eastAsia="uk-UA"/>
        </w:rPr>
        <w:t>кошторисний</w:t>
      </w:r>
      <w:proofErr w:type="spellEnd"/>
      <w:r w:rsidR="000D3100">
        <w:rPr>
          <w:lang w:eastAsia="uk-UA"/>
        </w:rPr>
        <w:t xml:space="preserve"> </w:t>
      </w:r>
      <w:proofErr w:type="spellStart"/>
      <w:r w:rsidR="000D3100">
        <w:rPr>
          <w:lang w:eastAsia="uk-UA"/>
        </w:rPr>
        <w:t>прибуток</w:t>
      </w:r>
      <w:proofErr w:type="spellEnd"/>
      <w:r w:rsidR="000D3100">
        <w:rPr>
          <w:lang w:val="uk-UA" w:eastAsia="uk-UA"/>
        </w:rPr>
        <w:t>,</w:t>
      </w:r>
      <w:r w:rsidR="000D3100">
        <w:rPr>
          <w:lang w:eastAsia="uk-UA"/>
        </w:rPr>
        <w:t xml:space="preserve"> </w:t>
      </w:r>
      <w:proofErr w:type="spellStart"/>
      <w:r w:rsidR="000D3100">
        <w:rPr>
          <w:lang w:eastAsia="uk-UA"/>
        </w:rPr>
        <w:t>адміністративні</w:t>
      </w:r>
      <w:proofErr w:type="spellEnd"/>
      <w:r w:rsidR="000D3100">
        <w:rPr>
          <w:lang w:eastAsia="uk-UA"/>
        </w:rPr>
        <w:t xml:space="preserve"> </w:t>
      </w:r>
      <w:proofErr w:type="spellStart"/>
      <w:r w:rsidR="000D3100">
        <w:rPr>
          <w:lang w:eastAsia="uk-UA"/>
        </w:rPr>
        <w:t>витрати</w:t>
      </w:r>
      <w:proofErr w:type="spellEnd"/>
      <w:r w:rsidR="000D3100">
        <w:rPr>
          <w:lang w:val="uk-UA" w:eastAsia="uk-UA"/>
        </w:rPr>
        <w:t>,</w:t>
      </w:r>
      <w:r w:rsidR="000D3100">
        <w:rPr>
          <w:lang w:eastAsia="uk-UA"/>
        </w:rPr>
        <w:t xml:space="preserve"> </w:t>
      </w:r>
      <w:r w:rsidR="000D3100">
        <w:rPr>
          <w:lang w:val="uk-UA" w:eastAsia="uk-UA"/>
        </w:rPr>
        <w:t xml:space="preserve">кошти на покриття </w:t>
      </w:r>
      <w:r w:rsidR="000D3100">
        <w:rPr>
          <w:lang w:val="uk-UA"/>
        </w:rPr>
        <w:t>ризиків</w:t>
      </w:r>
      <w:r w:rsidR="00BB34BB">
        <w:rPr>
          <w:lang w:val="uk-UA"/>
        </w:rPr>
        <w:t xml:space="preserve"> та сплату ПДВ</w:t>
      </w:r>
      <w:r>
        <w:t>.</w:t>
      </w:r>
      <w:r w:rsidR="00351522">
        <w:rPr>
          <w:lang w:val="uk-UA"/>
        </w:rPr>
        <w:t xml:space="preserve"> Крім того, автором проведено коригування окремого обладнання та зменшено його вартість.</w:t>
      </w:r>
      <w:bookmarkStart w:id="0" w:name="_GoBack"/>
      <w:bookmarkEnd w:id="0"/>
    </w:p>
    <w:p w:rsidR="00F138B3" w:rsidRDefault="00F138B3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8752B6">
        <w:rPr>
          <w:i/>
        </w:rPr>
        <w:t>(необхідну відповідь підкреслити)</w:t>
      </w:r>
      <w:r w:rsidRPr="008752B6">
        <w:t xml:space="preserve">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а)  </w:t>
      </w:r>
      <w:r w:rsidRPr="0061342D">
        <w:rPr>
          <w:b/>
          <w:u w:val="single"/>
        </w:rPr>
        <w:t>позитивно</w:t>
      </w:r>
    </w:p>
    <w:p w:rsidR="004E013D" w:rsidRPr="008752B6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</w:pPr>
      <w:r w:rsidRPr="008752B6">
        <w:t xml:space="preserve">б) нейтрально (зазначити можливі ускладнення під час реалізації проекту)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в) </w:t>
      </w:r>
      <w:r w:rsidRPr="0061342D">
        <w:t>негативно (зазначити чіткі причини відмови)</w:t>
      </w:r>
    </w:p>
    <w:p w:rsidR="00F05FA7" w:rsidRDefault="00F05FA7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>13. Висновок щодо відповідності проекту законодавству та можливості його реалізації(</w:t>
      </w:r>
      <w:r w:rsidRPr="008752B6">
        <w:rPr>
          <w:i/>
          <w:iCs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8752B6">
        <w:t xml:space="preserve">):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а) </w:t>
      </w:r>
      <w:r w:rsidRPr="00171CE0">
        <w:rPr>
          <w:b/>
          <w:u w:val="single"/>
        </w:rPr>
        <w:t>позитивний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б) </w:t>
      </w:r>
      <w:r w:rsidRPr="00171CE0">
        <w:t>негативний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BB34BB" w:rsidRDefault="00BB34BB" w:rsidP="004E013D">
      <w:pPr>
        <w:pStyle w:val="Default"/>
        <w:ind w:right="340"/>
        <w:rPr>
          <w:lang w:val="uk-UA"/>
        </w:rPr>
      </w:pPr>
    </w:p>
    <w:p w:rsidR="00670148" w:rsidRDefault="00670148" w:rsidP="00670148">
      <w:pPr>
        <w:pStyle w:val="Default"/>
        <w:ind w:right="340"/>
        <w:rPr>
          <w:lang w:val="uk-UA"/>
        </w:rPr>
      </w:pPr>
      <w:r>
        <w:rPr>
          <w:lang w:val="uk-UA"/>
        </w:rPr>
        <w:t xml:space="preserve">___________                        ________________                 </w:t>
      </w:r>
      <w:r>
        <w:rPr>
          <w:u w:val="single"/>
          <w:lang w:val="uk-UA"/>
        </w:rPr>
        <w:t>Шилов Віталій Володимирович</w:t>
      </w:r>
    </w:p>
    <w:p w:rsidR="005F30A5" w:rsidRPr="00670148" w:rsidRDefault="00670148" w:rsidP="00390E1C">
      <w:pPr>
        <w:pStyle w:val="Default"/>
        <w:ind w:left="6379" w:right="340" w:hanging="6379"/>
      </w:pPr>
      <w:r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міської ради</w:t>
      </w:r>
    </w:p>
    <w:sectPr w:rsidR="005F30A5" w:rsidRPr="00670148" w:rsidSect="00BB34B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74214"/>
    <w:rsid w:val="000B1FB8"/>
    <w:rsid w:val="000D3100"/>
    <w:rsid w:val="00171CE0"/>
    <w:rsid w:val="001A5C41"/>
    <w:rsid w:val="001C37D2"/>
    <w:rsid w:val="00351522"/>
    <w:rsid w:val="00390E1C"/>
    <w:rsid w:val="003D3971"/>
    <w:rsid w:val="003E7051"/>
    <w:rsid w:val="00447A6A"/>
    <w:rsid w:val="004E013D"/>
    <w:rsid w:val="00506662"/>
    <w:rsid w:val="00527E45"/>
    <w:rsid w:val="005340FA"/>
    <w:rsid w:val="005F30A5"/>
    <w:rsid w:val="005F7F0C"/>
    <w:rsid w:val="0061342D"/>
    <w:rsid w:val="00670148"/>
    <w:rsid w:val="006949EE"/>
    <w:rsid w:val="006A4FAF"/>
    <w:rsid w:val="00723908"/>
    <w:rsid w:val="007A3C0A"/>
    <w:rsid w:val="008035D6"/>
    <w:rsid w:val="008813BC"/>
    <w:rsid w:val="00892E0E"/>
    <w:rsid w:val="008D4421"/>
    <w:rsid w:val="009A0DF7"/>
    <w:rsid w:val="009D5AD6"/>
    <w:rsid w:val="009F0015"/>
    <w:rsid w:val="00A0644F"/>
    <w:rsid w:val="00A47E64"/>
    <w:rsid w:val="00A60B5B"/>
    <w:rsid w:val="00B4751D"/>
    <w:rsid w:val="00B63B9C"/>
    <w:rsid w:val="00BB34BB"/>
    <w:rsid w:val="00C23B85"/>
    <w:rsid w:val="00C931D7"/>
    <w:rsid w:val="00C96153"/>
    <w:rsid w:val="00D5070E"/>
    <w:rsid w:val="00D62CE0"/>
    <w:rsid w:val="00DF11C3"/>
    <w:rsid w:val="00EA75B9"/>
    <w:rsid w:val="00F01035"/>
    <w:rsid w:val="00F05FA7"/>
    <w:rsid w:val="00F1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103"/>
  <w15:docId w15:val="{7AF04EF9-C0CF-4A4B-94D9-21C7782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andard">
    <w:name w:val="Standard"/>
    <w:rsid w:val="00390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2017-10-25T06:47:00Z</cp:lastPrinted>
  <dcterms:created xsi:type="dcterms:W3CDTF">2019-03-26T13:03:00Z</dcterms:created>
  <dcterms:modified xsi:type="dcterms:W3CDTF">2019-03-26T13:29:00Z</dcterms:modified>
</cp:coreProperties>
</file>