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013B19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Спортивний центр «Єдність нації»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013B19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013B19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013B19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013B19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34"/>
        <w:gridCol w:w="1134"/>
      </w:tblGrid>
      <w:tr w:rsidR="004E013D" w:rsidRPr="00013B19" w:rsidTr="00013B19">
        <w:trPr>
          <w:trHeight w:val="419"/>
        </w:trPr>
        <w:tc>
          <w:tcPr>
            <w:tcW w:w="3227" w:type="dxa"/>
            <w:vMerge w:val="restart"/>
            <w:shd w:val="clear" w:color="auto" w:fill="auto"/>
          </w:tcPr>
          <w:p w:rsidR="004E013D" w:rsidRPr="00013B19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  <w:p w:rsidR="004E013D" w:rsidRPr="00013B19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013B19">
              <w:rPr>
                <w:rFonts w:eastAsia="Arial Unicode MS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013B19" w:rsidTr="00013B19">
        <w:tc>
          <w:tcPr>
            <w:tcW w:w="3227" w:type="dxa"/>
            <w:vMerge/>
            <w:shd w:val="clear" w:color="auto" w:fill="auto"/>
          </w:tcPr>
          <w:p w:rsidR="004E013D" w:rsidRPr="00013B19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4E013D" w:rsidRPr="00013B19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013B19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EA0DAA" w:rsidRPr="00E86F7D" w:rsidTr="00150885">
        <w:trPr>
          <w:trHeight w:val="11189"/>
        </w:trPr>
        <w:tc>
          <w:tcPr>
            <w:tcW w:w="3227" w:type="dxa"/>
            <w:shd w:val="clear" w:color="auto" w:fill="auto"/>
          </w:tcPr>
          <w:p w:rsidR="00EA0DAA" w:rsidRPr="00013B19" w:rsidRDefault="00EA0DAA" w:rsidP="00CC371D">
            <w:pPr>
              <w:rPr>
                <w:rFonts w:eastAsia="Calibri"/>
                <w:b/>
                <w:sz w:val="20"/>
                <w:szCs w:val="20"/>
              </w:rPr>
            </w:pPr>
            <w:r w:rsidRPr="00013B19">
              <w:rPr>
                <w:rFonts w:eastAsia="Calibri"/>
                <w:b/>
                <w:sz w:val="20"/>
                <w:szCs w:val="20"/>
              </w:rPr>
              <w:lastRenderedPageBreak/>
              <w:t>Ринг з навісом</w:t>
            </w:r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</w:rPr>
            </w:pPr>
            <w:r w:rsidRPr="00013B19">
              <w:rPr>
                <w:rFonts w:eastAsia="Calibri"/>
                <w:sz w:val="20"/>
                <w:szCs w:val="20"/>
              </w:rPr>
              <w:t>Складові частини:</w:t>
            </w:r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</w:rPr>
              <w:t xml:space="preserve">Ринг (майданчик для боксу та інших бойових мистецтв) стаціонарної установки з накриттям від опадів. Розміри площадки рингу 5*5 м; висота від верху площадки до найнижчої відмітки перекриття 4,6 м; мінімальна відстань від рівня землі або прилеглої території до верху площадки рингу 0,6 м. Покриття рингу має виступати за межі площадки на 0,3 м з кожної сторони. </w:t>
            </w: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Для </w:t>
            </w:r>
            <w:proofErr w:type="gramStart"/>
            <w:r w:rsidRPr="00013B1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</w:rPr>
              <w:t>ідйому</w:t>
            </w: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площадку ринг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обладнаний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стаціонарними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сходами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двох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сторін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ширина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ступені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300 мм,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висота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150 мм.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Всі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елементи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конструкції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мають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витримувати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від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впливу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навколишнього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середовища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дій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учасників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тренувань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Покриття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площадки не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деформується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ід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впливом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навантажень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від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людей,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що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займаються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в тому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числі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падіннях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стрибках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ін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..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Всі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елементи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мають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задовольняти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вимогам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травматичної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безпеки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всі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поверхні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захищені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від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впливу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зовнішніх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природних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факторів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. Периметр площадки рингу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огороджений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еластичними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канатами.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Покриття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площадки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виконане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із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бітумо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-резинового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матеріалу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ідвищеної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зносостійкості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.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зовнішньої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сторони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ринг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обладнати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консольних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виносах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грушами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діаметром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550 мм,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висотою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9800 мм,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атмосферостійкими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закріпленими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цепах в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кількості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4 шт.</w:t>
            </w:r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Предмет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закупі</w:t>
            </w:r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вл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складається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обладнання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(в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описі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доставкою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стаціонарним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монтажем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залізобетонний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фундамент.</w:t>
            </w:r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Конструкція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цілому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має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розрахована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згідно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нормативів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України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необхідні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впливи</w:t>
            </w:r>
            <w:proofErr w:type="spellEnd"/>
          </w:p>
          <w:p w:rsidR="00EA0DAA" w:rsidRPr="00013B19" w:rsidRDefault="00EA0DAA" w:rsidP="00CC371D">
            <w:pPr>
              <w:rPr>
                <w:rFonts w:eastAsia="Arial Unicode MS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370200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370200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370200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370200</w:t>
            </w:r>
          </w:p>
        </w:tc>
      </w:tr>
      <w:tr w:rsidR="00EA0DAA" w:rsidRPr="00E86F7D" w:rsidTr="00013B19">
        <w:tc>
          <w:tcPr>
            <w:tcW w:w="3227" w:type="dxa"/>
            <w:shd w:val="clear" w:color="auto" w:fill="auto"/>
          </w:tcPr>
          <w:p w:rsidR="00EA0DAA" w:rsidRPr="00013B19" w:rsidRDefault="00150885" w:rsidP="00CC371D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ru-RU"/>
              </w:rPr>
              <w:t>Бетонна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 основа для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ru-RU"/>
              </w:rPr>
              <w:t>встановлення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 рингу</w:t>
            </w:r>
          </w:p>
        </w:tc>
        <w:tc>
          <w:tcPr>
            <w:tcW w:w="1134" w:type="dxa"/>
            <w:shd w:val="clear" w:color="auto" w:fill="auto"/>
          </w:tcPr>
          <w:p w:rsidR="00EA0DAA" w:rsidRPr="00150885" w:rsidRDefault="00EA0DAA" w:rsidP="0019649E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Default="00150885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40000</w:t>
            </w:r>
          </w:p>
        </w:tc>
      </w:tr>
      <w:tr w:rsidR="00EA0DAA" w:rsidRPr="00E86F7D" w:rsidTr="00013B19">
        <w:tc>
          <w:tcPr>
            <w:tcW w:w="3227" w:type="dxa"/>
            <w:shd w:val="clear" w:color="auto" w:fill="auto"/>
          </w:tcPr>
          <w:p w:rsidR="00EA0DAA" w:rsidRPr="00013B19" w:rsidRDefault="00EA0DAA" w:rsidP="00CC371D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b/>
                <w:sz w:val="20"/>
                <w:szCs w:val="20"/>
                <w:lang w:val="ru-RU"/>
              </w:rPr>
              <w:t>Майданчик</w:t>
            </w:r>
            <w:proofErr w:type="spellEnd"/>
            <w:r w:rsidRPr="00013B19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b/>
                <w:sz w:val="20"/>
                <w:szCs w:val="20"/>
                <w:lang w:val="ru-RU"/>
              </w:rPr>
              <w:t>бойових</w:t>
            </w:r>
            <w:proofErr w:type="spellEnd"/>
            <w:r w:rsidRPr="00013B19">
              <w:rPr>
                <w:rFonts w:eastAsia="Calibr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b/>
                <w:sz w:val="20"/>
                <w:szCs w:val="20"/>
                <w:lang w:val="ru-RU"/>
              </w:rPr>
              <w:t>тренажері</w:t>
            </w:r>
            <w:proofErr w:type="gramStart"/>
            <w:r w:rsidRPr="00013B19">
              <w:rPr>
                <w:rFonts w:eastAsia="Calibri"/>
                <w:b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Складові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частини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однієї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площадки: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rFonts w:eastAsia="Arial"/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Металева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рама на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ст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ійках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80/80/3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мм,з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перекладинами 60/60/3 мм,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стаціонарної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установки 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залізобетонні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фундаменти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lastRenderedPageBreak/>
              <w:t>розмірами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плані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4/10 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висота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2,5 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захищена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від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атмосферних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впливів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– 1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Груша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Силует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1-діаметром 450 мм,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висотою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1100 мм -,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ідвищеної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зносостійкості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– 2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Груша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Силует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2 –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діаметром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400 мм,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висотою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1450 м</w:t>
            </w:r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м-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підвищеної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зносостійкості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– 2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шт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Манекен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бойовий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«BANDIT»,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імітація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форми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тіла</w:t>
            </w:r>
            <w:proofErr w:type="spellEnd"/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людини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виконаний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амортизаційного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матеріалу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- 1шт.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Подушка вертикальна 800/350мм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амортизаційного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матер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іалу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- 2шт.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Подушка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аперкот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400/400 мм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амортизаційного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матеріалу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 - 2шт.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>Манекен «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Таєць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імітація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форми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тіла</w:t>
            </w:r>
            <w:proofErr w:type="spellEnd"/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людини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ногами,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виконаний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амортизаційного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матеріалу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- 2шт.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Маківара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силуетна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покриттям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резина - 2шт.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Маківара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маленька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800*150мм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покриття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резина, канат - 4шт.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Маківара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 велика 1500*200мм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покриття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резина, канат-2 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Маківара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Він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Чунь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іском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- 2шт.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Колода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бойова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ідвісі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– 1500/200,з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обмоткою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канатом - 2шт.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Груша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набивна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Спід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Бек з платформою - 1 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Груша 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пружинних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п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ідвісах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– 4 шт.</w:t>
            </w:r>
          </w:p>
          <w:p w:rsidR="00EA0DAA" w:rsidRPr="00013B19" w:rsidRDefault="00EA0DAA" w:rsidP="00AE7FF2">
            <w:pPr>
              <w:numPr>
                <w:ilvl w:val="0"/>
                <w:numId w:val="1"/>
              </w:numPr>
              <w:spacing w:line="256" w:lineRule="auto"/>
              <w:ind w:left="0" w:hanging="720"/>
              <w:contextualSpacing/>
              <w:rPr>
                <w:sz w:val="20"/>
                <w:szCs w:val="20"/>
                <w:lang w:val="ru-RU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Хлопушки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таеквондо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>- 4 шт.</w:t>
            </w:r>
          </w:p>
          <w:p w:rsidR="00EA0DAA" w:rsidRPr="00013B19" w:rsidRDefault="00EA0DAA" w:rsidP="00CC371D">
            <w:pPr>
              <w:rPr>
                <w:rFonts w:eastAsia="Arial Unicode MS"/>
                <w:b/>
                <w:sz w:val="20"/>
                <w:szCs w:val="20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Манекен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бойовий</w:t>
            </w:r>
            <w:proofErr w:type="spellEnd"/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В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інг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Чунь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– 1шт.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013B19">
              <w:rPr>
                <w:rFonts w:eastAsia="Arial Unicode MS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167800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167800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t xml:space="preserve">1 </w:t>
            </w:r>
            <w:proofErr w:type="spellStart"/>
            <w:r w:rsidRPr="00013B19">
              <w:rPr>
                <w:rFonts w:eastAsia="Arial Unicode MS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167800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167800</w:t>
            </w:r>
          </w:p>
        </w:tc>
      </w:tr>
      <w:tr w:rsidR="00150885" w:rsidRPr="00E86F7D" w:rsidTr="00013B19">
        <w:tc>
          <w:tcPr>
            <w:tcW w:w="3227" w:type="dxa"/>
            <w:shd w:val="clear" w:color="auto" w:fill="auto"/>
          </w:tcPr>
          <w:p w:rsidR="00150885" w:rsidRPr="00013B19" w:rsidRDefault="00150885" w:rsidP="00CC371D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>Монтаж площадки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Default="00150885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Default="00150885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</w:t>
            </w:r>
          </w:p>
        </w:tc>
      </w:tr>
      <w:tr w:rsidR="00EA0DAA" w:rsidRPr="00E86F7D" w:rsidTr="00013B19">
        <w:tc>
          <w:tcPr>
            <w:tcW w:w="3227" w:type="dxa"/>
            <w:shd w:val="clear" w:color="auto" w:fill="auto"/>
          </w:tcPr>
          <w:p w:rsidR="00EA0DAA" w:rsidRPr="00013B19" w:rsidRDefault="00EA0DAA" w:rsidP="00CC371D">
            <w:pPr>
              <w:rPr>
                <w:rFonts w:eastAsia="Arial Unicode MS"/>
                <w:b/>
                <w:sz w:val="20"/>
                <w:szCs w:val="20"/>
              </w:rPr>
            </w:pPr>
            <w:r w:rsidRPr="00013B19">
              <w:rPr>
                <w:rFonts w:eastAsia="Arial Unicode MS"/>
                <w:b/>
                <w:sz w:val="20"/>
                <w:szCs w:val="20"/>
              </w:rPr>
              <w:t>Молот</w:t>
            </w:r>
          </w:p>
          <w:p w:rsidR="00EA0DAA" w:rsidRPr="00013B19" w:rsidRDefault="00EA0DAA" w:rsidP="00CC371D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Складові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частини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:rsidR="00EA0DAA" w:rsidRPr="00013B19" w:rsidRDefault="00EA0DAA" w:rsidP="00CC371D">
            <w:pPr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 Молот на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металічному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руків’ї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 1200  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мм</w:t>
            </w:r>
            <w:proofErr w:type="gramStart"/>
            <w:r w:rsidRPr="00013B19">
              <w:rPr>
                <w:rFonts w:eastAsia="Calibri"/>
                <w:sz w:val="20"/>
                <w:szCs w:val="20"/>
                <w:lang w:val="ru-RU"/>
              </w:rPr>
              <w:t>,в</w:t>
            </w:r>
            <w:proofErr w:type="gramEnd"/>
            <w:r w:rsidRPr="00013B19">
              <w:rPr>
                <w:rFonts w:eastAsia="Calibri"/>
                <w:sz w:val="20"/>
                <w:szCs w:val="20"/>
                <w:lang w:val="ru-RU"/>
              </w:rPr>
              <w:t>агою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10 кг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t>2 шт.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920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1840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2500</w:t>
            </w:r>
          </w:p>
        </w:tc>
      </w:tr>
      <w:tr w:rsidR="00EA0DAA" w:rsidRPr="00E86F7D" w:rsidTr="00013B19">
        <w:tc>
          <w:tcPr>
            <w:tcW w:w="3227" w:type="dxa"/>
            <w:shd w:val="clear" w:color="auto" w:fill="auto"/>
          </w:tcPr>
          <w:p w:rsidR="00EA0DAA" w:rsidRPr="00013B19" w:rsidRDefault="00EA0DAA" w:rsidP="00CC371D">
            <w:pPr>
              <w:rPr>
                <w:rFonts w:eastAsia="Arial Unicode MS"/>
                <w:b/>
                <w:sz w:val="20"/>
                <w:szCs w:val="20"/>
              </w:rPr>
            </w:pPr>
            <w:r w:rsidRPr="00013B19">
              <w:rPr>
                <w:rFonts w:eastAsia="Arial Unicode MS"/>
                <w:b/>
                <w:sz w:val="20"/>
                <w:szCs w:val="20"/>
              </w:rPr>
              <w:t>Гумове покриття</w:t>
            </w:r>
          </w:p>
          <w:p w:rsidR="00EA0DAA" w:rsidRPr="00013B19" w:rsidRDefault="00EA0DAA" w:rsidP="00CC371D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Покриття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гумової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крихти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3B19">
              <w:rPr>
                <w:rFonts w:eastAsia="Calibri"/>
                <w:sz w:val="20"/>
                <w:szCs w:val="20"/>
                <w:lang w:val="ru-RU"/>
              </w:rPr>
              <w:t>товщиною</w:t>
            </w:r>
            <w:proofErr w:type="spellEnd"/>
            <w:r w:rsidRPr="00013B19">
              <w:rPr>
                <w:rFonts w:eastAsia="Calibri"/>
                <w:sz w:val="20"/>
                <w:szCs w:val="20"/>
                <w:lang w:val="ru-RU"/>
              </w:rPr>
              <w:t xml:space="preserve"> 10мм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t>180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99000</w:t>
            </w: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E86F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E86F7D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A0DAA" w:rsidRPr="00013B19" w:rsidRDefault="00EA0DAA" w:rsidP="00E86F7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150885" w:rsidRPr="00E86F7D" w:rsidTr="00013B19">
        <w:tc>
          <w:tcPr>
            <w:tcW w:w="3227" w:type="dxa"/>
            <w:shd w:val="clear" w:color="auto" w:fill="auto"/>
          </w:tcPr>
          <w:p w:rsidR="00150885" w:rsidRPr="00150885" w:rsidRDefault="00150885" w:rsidP="00CC371D">
            <w:pPr>
              <w:rPr>
                <w:rFonts w:eastAsia="Arial Unicode MS"/>
                <w:b/>
                <w:sz w:val="20"/>
                <w:szCs w:val="20"/>
              </w:rPr>
            </w:pPr>
            <w:r w:rsidRPr="00150885">
              <w:rPr>
                <w:rFonts w:eastAsia="Arial Unicode MS"/>
                <w:b/>
                <w:sz w:val="20"/>
                <w:szCs w:val="20"/>
              </w:rPr>
              <w:t>Огорожа</w:t>
            </w:r>
          </w:p>
          <w:p w:rsidR="00150885" w:rsidRPr="00013B19" w:rsidRDefault="00150885" w:rsidP="00CC371D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013B19">
              <w:rPr>
                <w:sz w:val="20"/>
                <w:szCs w:val="20"/>
              </w:rPr>
              <w:br/>
            </w:r>
            <w:r w:rsidRPr="00013B19">
              <w:rPr>
                <w:color w:val="212121"/>
                <w:sz w:val="20"/>
                <w:szCs w:val="20"/>
                <w:shd w:val="clear" w:color="auto" w:fill="FFFFFF"/>
              </w:rPr>
              <w:t xml:space="preserve">Зварна панельна система для огородження спортивних майданчиків - це потужна система огорож виконані з зварних оцинкованих прутів в полімерному покритті. Панельні огорожі мають велику жорсткість конструкції і, отже, захисні функції, так як у виробництві панелей цієї серії використовуються горизонтальні подвійні прути більшого діаметру, що приварюються по обидва боки </w:t>
            </w:r>
            <w:r w:rsidRPr="00013B19">
              <w:rPr>
                <w:color w:val="212121"/>
                <w:sz w:val="20"/>
                <w:szCs w:val="20"/>
                <w:shd w:val="clear" w:color="auto" w:fill="FFFFFF"/>
              </w:rPr>
              <w:lastRenderedPageBreak/>
              <w:t>панелі.</w:t>
            </w:r>
          </w:p>
          <w:p w:rsidR="00150885" w:rsidRPr="00013B19" w:rsidRDefault="00150885" w:rsidP="00CC371D">
            <w:pPr>
              <w:pStyle w:val="2"/>
              <w:spacing w:after="80"/>
              <w:rPr>
                <w:rFonts w:eastAsia="Arial"/>
                <w:sz w:val="20"/>
                <w:szCs w:val="20"/>
                <w:lang w:val="ru-RU"/>
              </w:rPr>
            </w:pPr>
            <w:bookmarkStart w:id="0" w:name="_3olo6735g4mk"/>
            <w:bookmarkEnd w:id="0"/>
            <w:proofErr w:type="spellStart"/>
            <w:r>
              <w:rPr>
                <w:rFonts w:eastAsia="Arial"/>
                <w:sz w:val="20"/>
                <w:szCs w:val="20"/>
                <w:lang w:val="ru-RU"/>
              </w:rPr>
              <w:t>Т</w:t>
            </w:r>
            <w:r w:rsidRPr="00013B19">
              <w:rPr>
                <w:rFonts w:eastAsia="Arial"/>
                <w:sz w:val="20"/>
                <w:szCs w:val="20"/>
                <w:lang w:val="ru-RU"/>
              </w:rPr>
              <w:t>ехн</w:t>
            </w:r>
            <w:r>
              <w:rPr>
                <w:rFonts w:eastAsia="Arial"/>
                <w:sz w:val="20"/>
                <w:szCs w:val="20"/>
                <w:lang w:val="ru-RU"/>
              </w:rPr>
              <w:t>і</w:t>
            </w:r>
            <w:r w:rsidRPr="00013B19">
              <w:rPr>
                <w:rFonts w:eastAsia="Arial"/>
                <w:sz w:val="20"/>
                <w:szCs w:val="20"/>
                <w:lang w:val="ru-RU"/>
              </w:rPr>
              <w:t>ч</w:t>
            </w:r>
            <w:r>
              <w:rPr>
                <w:rFonts w:eastAsia="Arial"/>
                <w:sz w:val="20"/>
                <w:szCs w:val="20"/>
                <w:lang w:val="ru-RU"/>
              </w:rPr>
              <w:t>ні</w:t>
            </w:r>
            <w:proofErr w:type="spellEnd"/>
            <w:r w:rsidRPr="00013B19">
              <w:rPr>
                <w:rFonts w:eastAsia="Arial"/>
                <w:sz w:val="20"/>
                <w:szCs w:val="20"/>
                <w:lang w:val="ru-RU"/>
              </w:rPr>
              <w:t xml:space="preserve"> характеристики:</w:t>
            </w:r>
          </w:p>
          <w:p w:rsidR="00150885" w:rsidRPr="00013B19" w:rsidRDefault="00150885" w:rsidP="00013B1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Arial"/>
                <w:sz w:val="20"/>
                <w:szCs w:val="20"/>
                <w:lang w:val="ru-RU"/>
              </w:rPr>
            </w:pPr>
            <w:r w:rsidRPr="00013B19">
              <w:rPr>
                <w:sz w:val="20"/>
                <w:szCs w:val="20"/>
                <w:lang w:val="ru-RU"/>
              </w:rPr>
              <w:t>Диаметр дроту: 5/6 мм;</w:t>
            </w:r>
          </w:p>
          <w:p w:rsidR="00150885" w:rsidRPr="00013B19" w:rsidRDefault="00150885" w:rsidP="00013B1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013B19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13B19">
              <w:rPr>
                <w:sz w:val="20"/>
                <w:szCs w:val="20"/>
                <w:lang w:val="ru-RU"/>
              </w:rPr>
              <w:t xml:space="preserve"> полотна </w:t>
            </w:r>
            <w:proofErr w:type="spellStart"/>
            <w:r w:rsidRPr="00013B19">
              <w:rPr>
                <w:sz w:val="20"/>
                <w:szCs w:val="20"/>
                <w:lang w:val="ru-RU"/>
              </w:rPr>
              <w:t>сітки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>: 2030х2500 мм (2 шт. );</w:t>
            </w:r>
          </w:p>
          <w:p w:rsidR="00150885" w:rsidRPr="00013B19" w:rsidRDefault="00150885" w:rsidP="00013B1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sz w:val="20"/>
                <w:szCs w:val="20"/>
                <w:lang w:val="ru-RU"/>
              </w:rPr>
              <w:t>Висота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sz w:val="20"/>
                <w:szCs w:val="20"/>
                <w:lang w:val="ru-RU"/>
              </w:rPr>
              <w:t>майданчику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>: 4 м;</w:t>
            </w:r>
          </w:p>
          <w:p w:rsidR="00150885" w:rsidRPr="00013B19" w:rsidRDefault="00150885" w:rsidP="00013B1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013B19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13B1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sz w:val="20"/>
                <w:szCs w:val="20"/>
                <w:lang w:val="ru-RU"/>
              </w:rPr>
              <w:t>профільного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sz w:val="20"/>
                <w:szCs w:val="20"/>
                <w:lang w:val="ru-RU"/>
              </w:rPr>
              <w:t>стовпа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>: 80х60, L= 5000 мм;</w:t>
            </w:r>
          </w:p>
          <w:p w:rsidR="00150885" w:rsidRPr="00013B19" w:rsidRDefault="00150885" w:rsidP="00013B1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013B19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B19">
              <w:rPr>
                <w:sz w:val="20"/>
                <w:szCs w:val="20"/>
                <w:lang w:val="ru-RU"/>
              </w:rPr>
              <w:t>елементів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13B19">
              <w:rPr>
                <w:sz w:val="20"/>
                <w:szCs w:val="20"/>
                <w:lang w:val="ru-RU"/>
              </w:rPr>
              <w:t>кр</w:t>
            </w:r>
            <w:proofErr w:type="gramEnd"/>
            <w:r w:rsidRPr="00013B19">
              <w:rPr>
                <w:sz w:val="20"/>
                <w:szCs w:val="20"/>
                <w:lang w:val="ru-RU"/>
              </w:rPr>
              <w:t>іплення</w:t>
            </w:r>
            <w:proofErr w:type="spellEnd"/>
            <w:r w:rsidRPr="00013B19">
              <w:rPr>
                <w:sz w:val="20"/>
                <w:szCs w:val="20"/>
                <w:lang w:val="ru-RU"/>
              </w:rPr>
              <w:t>: 12 шт.</w:t>
            </w:r>
          </w:p>
          <w:p w:rsidR="00150885" w:rsidRPr="00013B19" w:rsidRDefault="00150885" w:rsidP="00CC371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lastRenderedPageBreak/>
              <w:t>58м.п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104400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13B19">
              <w:rPr>
                <w:rFonts w:eastAsia="Arial Unicode MS"/>
                <w:sz w:val="20"/>
                <w:szCs w:val="20"/>
              </w:rPr>
              <w:t>58м.п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1078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104400</w:t>
            </w:r>
          </w:p>
        </w:tc>
      </w:tr>
      <w:tr w:rsidR="00150885" w:rsidRPr="00E86F7D" w:rsidTr="005C07BF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rFonts w:eastAsia="Calibri"/>
                <w:b/>
                <w:sz w:val="20"/>
                <w:szCs w:val="20"/>
              </w:rPr>
              <w:lastRenderedPageBreak/>
              <w:t>Улаштування фундаменту для огорожі</w:t>
            </w:r>
            <w:r w:rsidRPr="00150885">
              <w:rPr>
                <w:rFonts w:eastAsia="Calibri"/>
                <w:b/>
                <w:sz w:val="20"/>
                <w:szCs w:val="20"/>
              </w:rPr>
              <w:t xml:space="preserve"> (у</w:t>
            </w:r>
            <w:r w:rsidRPr="00150885">
              <w:rPr>
                <w:rFonts w:eastAsia="Calibri"/>
                <w:b/>
                <w:sz w:val="20"/>
                <w:szCs w:val="20"/>
              </w:rPr>
              <w:t xml:space="preserve">лаштування опалубки, монтаж </w:t>
            </w:r>
            <w:proofErr w:type="spellStart"/>
            <w:r w:rsidRPr="00150885">
              <w:rPr>
                <w:rFonts w:eastAsia="Calibri"/>
                <w:b/>
                <w:sz w:val="20"/>
                <w:szCs w:val="20"/>
              </w:rPr>
              <w:t>стовбів</w:t>
            </w:r>
            <w:proofErr w:type="spellEnd"/>
            <w:r w:rsidRPr="00150885">
              <w:rPr>
                <w:rFonts w:eastAsia="Calibri"/>
                <w:b/>
                <w:sz w:val="20"/>
                <w:szCs w:val="20"/>
              </w:rPr>
              <w:t>, укладання бетону</w:t>
            </w:r>
            <w:r w:rsidRPr="00150885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25 шт.</w:t>
            </w:r>
          </w:p>
        </w:tc>
        <w:tc>
          <w:tcPr>
            <w:tcW w:w="1134" w:type="dxa"/>
            <w:shd w:val="clear" w:color="auto" w:fill="auto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17500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Монтаж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огорожі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46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11500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Доставка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50000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Розробка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проектно-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кошторисної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документації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40000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Вишукувальні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5000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Експертиза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ПКД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5000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Авторський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нагляд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5000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Техн</w:t>
            </w:r>
            <w:proofErr w:type="gram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ічний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нагляд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Адм</w:t>
            </w:r>
            <w:proofErr w:type="gram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іністративні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10000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Кошторисний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прибуток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20000</w:t>
            </w:r>
          </w:p>
        </w:tc>
      </w:tr>
      <w:tr w:rsidR="00150885" w:rsidRPr="00E86F7D" w:rsidTr="00457ADA">
        <w:tc>
          <w:tcPr>
            <w:tcW w:w="3227" w:type="dxa"/>
            <w:shd w:val="clear" w:color="auto" w:fill="auto"/>
            <w:vAlign w:val="bottom"/>
          </w:tcPr>
          <w:p w:rsidR="00150885" w:rsidRPr="00150885" w:rsidRDefault="00150885" w:rsidP="00110786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Інфляція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непередбачені</w:t>
            </w:r>
            <w:proofErr w:type="spellEnd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885">
              <w:rPr>
                <w:b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50885" w:rsidRPr="00150885" w:rsidRDefault="00150885" w:rsidP="00110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50885">
              <w:rPr>
                <w:color w:val="000000"/>
                <w:sz w:val="20"/>
                <w:szCs w:val="20"/>
                <w:lang w:val="ru-RU"/>
              </w:rPr>
              <w:t>110000</w:t>
            </w:r>
          </w:p>
        </w:tc>
      </w:tr>
      <w:tr w:rsidR="00150885" w:rsidRPr="00E86F7D" w:rsidTr="00013B19">
        <w:tc>
          <w:tcPr>
            <w:tcW w:w="3227" w:type="dxa"/>
            <w:shd w:val="clear" w:color="auto" w:fill="auto"/>
          </w:tcPr>
          <w:p w:rsidR="00150885" w:rsidRPr="00E86F7D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19649E">
            <w:pPr>
              <w:pStyle w:val="Default"/>
              <w:ind w:right="-148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sz w:val="20"/>
                <w:szCs w:val="20"/>
                <w:lang w:val="uk-UA"/>
              </w:rPr>
              <w:t>891888,00</w:t>
            </w: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0885" w:rsidRPr="00013B19" w:rsidRDefault="00150885" w:rsidP="00E86F7D">
            <w:pPr>
              <w:pStyle w:val="Default"/>
              <w:ind w:right="-143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>
              <w:rPr>
                <w:rFonts w:eastAsia="Arial Unicode MS"/>
                <w:b/>
                <w:sz w:val="20"/>
                <w:szCs w:val="20"/>
                <w:lang w:val="uk-UA"/>
              </w:rPr>
              <w:t>998900</w:t>
            </w:r>
          </w:p>
        </w:tc>
      </w:tr>
    </w:tbl>
    <w:p w:rsidR="004E013D" w:rsidRPr="002E16B9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2E16B9">
        <w:t xml:space="preserve">Загальна сума проекту, пропонована автором,  складає </w:t>
      </w:r>
      <w:r w:rsidR="00013B19" w:rsidRPr="002E16B9">
        <w:t>891888</w:t>
      </w:r>
      <w:r w:rsidR="00BE7A7E" w:rsidRPr="002E16B9">
        <w:rPr>
          <w:b/>
        </w:rPr>
        <w:t>,</w:t>
      </w:r>
      <w:r w:rsidR="00BE7A7E" w:rsidRPr="002E16B9">
        <w:t>00</w:t>
      </w:r>
      <w:r w:rsidRPr="002E16B9">
        <w:t xml:space="preserve"> гривень.</w:t>
      </w:r>
    </w:p>
    <w:p w:rsidR="004E013D" w:rsidRPr="002E16B9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2E16B9">
        <w:t xml:space="preserve">Загальна сума проекту, відкоригована згідно з зауваженнями виконавчого органу, складає </w:t>
      </w:r>
      <w:r w:rsidR="00150885" w:rsidRPr="002E16B9">
        <w:t>998900</w:t>
      </w:r>
      <w:r w:rsidR="007855AB" w:rsidRPr="002E16B9">
        <w:t>,00</w:t>
      </w:r>
      <w:r w:rsidRPr="002E16B9">
        <w:t xml:space="preserve"> гривень </w:t>
      </w:r>
      <w:r w:rsidRPr="002E16B9">
        <w:rPr>
          <w:i/>
        </w:rPr>
        <w:t>(заповнюється за потреби)</w:t>
      </w:r>
    </w:p>
    <w:p w:rsidR="004E013D" w:rsidRPr="002E16B9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2E16B9">
        <w:t>Обґрунтування внесених змін:</w:t>
      </w:r>
    </w:p>
    <w:p w:rsidR="007855AB" w:rsidRPr="002E16B9" w:rsidRDefault="007855AB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2E16B9">
        <w:t xml:space="preserve">Орієнтовна вартість будівництва складає </w:t>
      </w:r>
      <w:r w:rsidR="00150885" w:rsidRPr="002E16B9">
        <w:t>998900</w:t>
      </w:r>
      <w:r w:rsidRPr="002E16B9">
        <w:t>,00 грн, а остаточна вартість визначається робочим проектом. При розрахунку вартості проекту автором не враховано витрати на виготовлення проектно</w:t>
      </w:r>
      <w:r w:rsidR="00150885" w:rsidRPr="002E16B9">
        <w:t xml:space="preserve">-кошторисної документації, вишукувальні роботи, експертизу проектно-кошторисної документації, авторський та технічний нагляд, адміністративні витрати, кошторисний прибуток, </w:t>
      </w:r>
      <w:r w:rsidRPr="002E16B9">
        <w:t xml:space="preserve">інфляцію та непередбачувані витрати, </w:t>
      </w:r>
      <w:r w:rsidR="00150885" w:rsidRPr="002E16B9">
        <w:t xml:space="preserve">влаштування бетонної основи для встановлення рингу, монтаж площадки, </w:t>
      </w:r>
      <w:r w:rsidR="002E16B9" w:rsidRPr="002E16B9">
        <w:t>улаштування фундамент</w:t>
      </w:r>
      <w:r w:rsidR="00636BF4">
        <w:t>у</w:t>
      </w:r>
      <w:bookmarkStart w:id="1" w:name="_GoBack"/>
      <w:bookmarkEnd w:id="1"/>
      <w:r w:rsidR="002E16B9" w:rsidRPr="002E16B9">
        <w:t xml:space="preserve"> для огорожі, монтаж огорожі, доставку обладнання. </w:t>
      </w:r>
      <w:r w:rsidRPr="002E16B9">
        <w:t xml:space="preserve">Крім того, автором </w:t>
      </w:r>
      <w:r w:rsidR="002E16B9" w:rsidRPr="002E16B9">
        <w:t>виключено з</w:t>
      </w:r>
      <w:r w:rsidRPr="002E16B9">
        <w:t xml:space="preserve"> проект</w:t>
      </w:r>
      <w:r w:rsidR="002E16B9" w:rsidRPr="002E16B9">
        <w:t>у</w:t>
      </w:r>
      <w:r w:rsidRPr="002E16B9">
        <w:t xml:space="preserve"> </w:t>
      </w:r>
      <w:r w:rsidR="002E16B9" w:rsidRPr="002E16B9">
        <w:t>встановлення гумового покриття</w:t>
      </w:r>
      <w:r w:rsidRPr="002E16B9">
        <w:t>.</w:t>
      </w:r>
    </w:p>
    <w:p w:rsidR="007855AB" w:rsidRDefault="007855AB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2E16B9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9D5"/>
    <w:multiLevelType w:val="multilevel"/>
    <w:tmpl w:val="51F464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1C51656"/>
    <w:multiLevelType w:val="multilevel"/>
    <w:tmpl w:val="456C97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13B19"/>
    <w:rsid w:val="00150885"/>
    <w:rsid w:val="0019649E"/>
    <w:rsid w:val="00267E4C"/>
    <w:rsid w:val="002D45B8"/>
    <w:rsid w:val="002E16B9"/>
    <w:rsid w:val="003616AA"/>
    <w:rsid w:val="00457E81"/>
    <w:rsid w:val="004D196D"/>
    <w:rsid w:val="004E013D"/>
    <w:rsid w:val="005E282D"/>
    <w:rsid w:val="005F30A5"/>
    <w:rsid w:val="00636BF4"/>
    <w:rsid w:val="007855AB"/>
    <w:rsid w:val="00933659"/>
    <w:rsid w:val="009573A3"/>
    <w:rsid w:val="00963D6E"/>
    <w:rsid w:val="00A7480D"/>
    <w:rsid w:val="00AE7FF2"/>
    <w:rsid w:val="00BC1FCD"/>
    <w:rsid w:val="00BE7A7E"/>
    <w:rsid w:val="00D03458"/>
    <w:rsid w:val="00E1167F"/>
    <w:rsid w:val="00E86F7D"/>
    <w:rsid w:val="00EA0DAA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3B19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13B1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1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3B19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13B1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1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6467</Words>
  <Characters>3687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2017-10-26T11:43:00Z</dcterms:created>
  <dcterms:modified xsi:type="dcterms:W3CDTF">2017-10-30T12:50:00Z</dcterms:modified>
</cp:coreProperties>
</file>